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E8" w:rsidRDefault="003C5B45" w:rsidP="003C5B45">
      <w:pPr>
        <w:jc w:val="center"/>
      </w:pPr>
      <w:r>
        <w:rPr>
          <w:b/>
          <w:bCs/>
          <w:noProof/>
          <w:sz w:val="40"/>
          <w:szCs w:val="40"/>
          <w:lang w:val="en-GB" w:eastAsia="en-GB"/>
        </w:rPr>
        <w:drawing>
          <wp:inline distT="0" distB="0" distL="0" distR="0" wp14:anchorId="3B0C2657" wp14:editId="5C27B7F6">
            <wp:extent cx="1543050" cy="14295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805" cy="1464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5B45" w:rsidRDefault="003C5B45" w:rsidP="003C5B45">
      <w:pPr>
        <w:jc w:val="center"/>
      </w:pPr>
    </w:p>
    <w:p w:rsidR="003C5B45" w:rsidRPr="00542FF8" w:rsidRDefault="003C5B45" w:rsidP="003C5B45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2017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>2 JU through 1 January to 31 December 2017. The type of decision identifies which decisions were taken at a Meeting and which decisions were taken by Written Procedure (WP).</w:t>
      </w:r>
    </w:p>
    <w:p w:rsidR="003C5B45" w:rsidRDefault="003C5B45" w:rsidP="003C5B45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251"/>
        <w:gridCol w:w="6067"/>
      </w:tblGrid>
      <w:tr w:rsidR="003C5B45" w:rsidTr="001479BB">
        <w:tc>
          <w:tcPr>
            <w:tcW w:w="2119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1417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9663" w:type="dxa"/>
            <w:shd w:val="clear" w:color="auto" w:fill="00B0F0"/>
          </w:tcPr>
          <w:p w:rsidR="003C5B45" w:rsidRPr="003C5B45" w:rsidRDefault="003C5B45" w:rsidP="003C5B45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FCH-GB-2017-01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18 April 2017 adopting the FCH 2 JU 2017 Budget Amendment (including amendment to the Staff Establishment Plan)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FCH-GB-2017-02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01 June 2017 adopting the independent assessment of IK (FP7)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FCH-GB-2017-03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9 June 2017 not to apply EC decision C(9028) of 16 December 2013</w:t>
            </w:r>
            <w:r w:rsidR="000C3660">
              <w:rPr>
                <w:lang w:val="en-GB"/>
              </w:rPr>
              <w:t xml:space="preserve"> – on the maximum duration for the recourse to non-permanent staff in the Commission services</w:t>
            </w:r>
            <w:bookmarkStart w:id="0" w:name="_GoBack"/>
            <w:bookmarkEnd w:id="0"/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FCH-GB-2017-04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MEETING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29 June 2017 Election of Jack Metthey as the Vice-Chair of the GB 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FCH-GB-2017-05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29 June 2017 on the approval of the minutes of the GB meeting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FCH-GB-2017-06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30 June 2017 on FCH 2 JU AAR 2016 and its assessment of it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FCH-GB-2017-07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30 June 2017 on GB opinion on the 2016 Annual Accounts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FCH-GB-2017-08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20 July 2017 on FCH 2 JU call evaluation 2017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FCH-GB-2017-09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31 July 2017 on FCH 2 JU policy on prevention of harassment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FCH-GB-2017-10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18 August 2017 on Amendment n°2 to the FCH JU budget for 2017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lastRenderedPageBreak/>
              <w:t>FCH-GB-2017-11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02 October 2017 on additional actions for funding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FCH-GB-2017-12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13 November 2017 on rules on the prevention and management of conflicts of interests of the staff members of the FCH 2 JU, rules on the prevention and management of conflicts of interests of the bodies of the FCH 2 JU, rules concerning the annual appraisal, probationary and management trial period of the Executive Director of the FCH 2 JU - adopted on 13/11/17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FCH-GB-2017-13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15 November 2017 on the appointment of members of the Scientific Committee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FCH-GB-2017-14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 xml:space="preserve">Decision of 14 December 2017 on Annual Work Plan and Budget for 2018 </w:t>
            </w:r>
          </w:p>
        </w:tc>
      </w:tr>
      <w:tr w:rsidR="00EC5A80" w:rsidRPr="000C3660" w:rsidTr="001479BB">
        <w:tc>
          <w:tcPr>
            <w:tcW w:w="2119" w:type="dxa"/>
          </w:tcPr>
          <w:p w:rsidR="00EC5A80" w:rsidRPr="0048592A" w:rsidRDefault="00EC5A80" w:rsidP="00EC5A80">
            <w:pPr>
              <w:spacing w:before="240"/>
            </w:pPr>
            <w:r w:rsidRPr="0048592A">
              <w:t>FCH-GB-2017-15</w:t>
            </w:r>
          </w:p>
        </w:tc>
        <w:tc>
          <w:tcPr>
            <w:tcW w:w="1417" w:type="dxa"/>
          </w:tcPr>
          <w:p w:rsidR="00EC5A80" w:rsidRPr="0048592A" w:rsidRDefault="00EC5A80" w:rsidP="001479BB">
            <w:pPr>
              <w:spacing w:before="240"/>
              <w:jc w:val="center"/>
            </w:pPr>
            <w:r w:rsidRPr="0048592A">
              <w:t>WP</w:t>
            </w:r>
          </w:p>
        </w:tc>
        <w:tc>
          <w:tcPr>
            <w:tcW w:w="9663" w:type="dxa"/>
          </w:tcPr>
          <w:p w:rsidR="00EC5A80" w:rsidRPr="00EC5A80" w:rsidRDefault="00EC5A80" w:rsidP="00EC5A80">
            <w:pPr>
              <w:spacing w:before="240"/>
              <w:rPr>
                <w:lang w:val="en-GB"/>
              </w:rPr>
            </w:pPr>
            <w:r w:rsidRPr="00EC5A80">
              <w:rPr>
                <w:lang w:val="en-GB"/>
              </w:rPr>
              <w:t>Decision of 14 December 2017 on A</w:t>
            </w:r>
            <w:r w:rsidR="000C3660">
              <w:rPr>
                <w:lang w:val="en-GB"/>
              </w:rPr>
              <w:t xml:space="preserve">dditional </w:t>
            </w:r>
            <w:r w:rsidRPr="00EC5A80">
              <w:rPr>
                <w:lang w:val="en-GB"/>
              </w:rPr>
              <w:t>A</w:t>
            </w:r>
            <w:r w:rsidR="000C3660">
              <w:rPr>
                <w:lang w:val="en-GB"/>
              </w:rPr>
              <w:t xml:space="preserve">ctivities </w:t>
            </w:r>
            <w:r w:rsidRPr="00EC5A80">
              <w:rPr>
                <w:lang w:val="en-GB"/>
              </w:rPr>
              <w:t>P</w:t>
            </w:r>
            <w:r w:rsidR="000C3660">
              <w:rPr>
                <w:lang w:val="en-GB"/>
              </w:rPr>
              <w:t>lan</w:t>
            </w:r>
            <w:r w:rsidRPr="00EC5A80">
              <w:rPr>
                <w:lang w:val="en-GB"/>
              </w:rPr>
              <w:t xml:space="preserve"> 2018 </w:t>
            </w:r>
          </w:p>
        </w:tc>
      </w:tr>
      <w:tr w:rsidR="001479BB" w:rsidRPr="000C3660" w:rsidTr="001479BB">
        <w:tc>
          <w:tcPr>
            <w:tcW w:w="2119" w:type="dxa"/>
          </w:tcPr>
          <w:p w:rsidR="001479BB" w:rsidRPr="00867CBB" w:rsidRDefault="001479BB" w:rsidP="001479BB">
            <w:pPr>
              <w:spacing w:before="240"/>
            </w:pPr>
            <w:r w:rsidRPr="00867CBB">
              <w:t>FCH-GB-2017-16</w:t>
            </w:r>
          </w:p>
        </w:tc>
        <w:tc>
          <w:tcPr>
            <w:tcW w:w="1417" w:type="dxa"/>
          </w:tcPr>
          <w:p w:rsidR="001479BB" w:rsidRPr="00867CBB" w:rsidRDefault="001479BB" w:rsidP="001479BB">
            <w:pPr>
              <w:spacing w:before="240"/>
              <w:jc w:val="center"/>
            </w:pPr>
            <w:r w:rsidRPr="00867CBB">
              <w:t>WP</w:t>
            </w:r>
          </w:p>
        </w:tc>
        <w:tc>
          <w:tcPr>
            <w:tcW w:w="9663" w:type="dxa"/>
          </w:tcPr>
          <w:p w:rsidR="001479BB" w:rsidRPr="000C3660" w:rsidRDefault="001479BB" w:rsidP="001479BB">
            <w:pPr>
              <w:spacing w:before="240"/>
              <w:rPr>
                <w:lang w:val="en-GB"/>
              </w:rPr>
            </w:pPr>
            <w:r w:rsidRPr="000C3660">
              <w:rPr>
                <w:lang w:val="en-GB"/>
              </w:rPr>
              <w:t xml:space="preserve">Decision on 14 December 2017 on Guide to missions </w:t>
            </w:r>
          </w:p>
        </w:tc>
      </w:tr>
    </w:tbl>
    <w:p w:rsidR="003C5B45" w:rsidRPr="003C5B45" w:rsidRDefault="003C5B45" w:rsidP="003C5B45">
      <w:pPr>
        <w:jc w:val="both"/>
        <w:rPr>
          <w:rFonts w:ascii="Trebuchet MS" w:hAnsi="Trebuchet MS"/>
          <w:sz w:val="28"/>
          <w:lang w:val="en-GB"/>
        </w:rPr>
      </w:pPr>
    </w:p>
    <w:sectPr w:rsidR="003C5B45" w:rsidRPr="003C5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2F5" w:rsidRDefault="009372F5" w:rsidP="00C77D42">
      <w:pPr>
        <w:spacing w:after="0" w:line="240" w:lineRule="auto"/>
      </w:pPr>
      <w:r>
        <w:separator/>
      </w:r>
    </w:p>
  </w:endnote>
  <w:endnote w:type="continuationSeparator" w:id="0">
    <w:p w:rsidR="009372F5" w:rsidRDefault="009372F5" w:rsidP="00C7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2F5" w:rsidRDefault="009372F5" w:rsidP="00C77D42">
      <w:pPr>
        <w:spacing w:after="0" w:line="240" w:lineRule="auto"/>
      </w:pPr>
      <w:r>
        <w:separator/>
      </w:r>
    </w:p>
  </w:footnote>
  <w:footnote w:type="continuationSeparator" w:id="0">
    <w:p w:rsidR="009372F5" w:rsidRDefault="009372F5" w:rsidP="00C77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8F8"/>
    <w:multiLevelType w:val="multilevel"/>
    <w:tmpl w:val="4EC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862685"/>
    <w:multiLevelType w:val="multilevel"/>
    <w:tmpl w:val="091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0"/>
    <w:rsid w:val="000C3660"/>
    <w:rsid w:val="001479BB"/>
    <w:rsid w:val="0022159E"/>
    <w:rsid w:val="002F5867"/>
    <w:rsid w:val="003C58DF"/>
    <w:rsid w:val="003C5B45"/>
    <w:rsid w:val="004C7078"/>
    <w:rsid w:val="00542FF8"/>
    <w:rsid w:val="006564C0"/>
    <w:rsid w:val="009372F5"/>
    <w:rsid w:val="00C77D42"/>
    <w:rsid w:val="00CC1724"/>
    <w:rsid w:val="00E60AE8"/>
    <w:rsid w:val="00EC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E0CDB1"/>
  <w15:chartTrackingRefBased/>
  <w15:docId w15:val="{C8099045-ABA4-4BF2-A79C-CC31C911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42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77D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42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KONTOGIANNIS Vasilis (FCH)</dc:creator>
  <cp:keywords/>
  <dc:description/>
  <cp:lastModifiedBy>MAES Patricia ( FCH )</cp:lastModifiedBy>
  <cp:revision>7</cp:revision>
  <dcterms:created xsi:type="dcterms:W3CDTF">2018-02-01T09:16:00Z</dcterms:created>
  <dcterms:modified xsi:type="dcterms:W3CDTF">2018-03-19T08:25:00Z</dcterms:modified>
</cp:coreProperties>
</file>