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48" w:rsidRPr="00384EF8" w:rsidRDefault="00504C1A" w:rsidP="00D70205">
      <w:pPr>
        <w:pStyle w:val="Title1"/>
      </w:pPr>
      <w:bookmarkStart w:id="0" w:name="_Toc273454588"/>
      <w:bookmarkStart w:id="1" w:name="_Toc273454703"/>
      <w:bookmarkStart w:id="2" w:name="_Toc277333762"/>
      <w:bookmarkStart w:id="3" w:name="_Toc277333810"/>
      <w:bookmarkStart w:id="4" w:name="_Toc277333825"/>
      <w:bookmarkStart w:id="5" w:name="_Toc277334008"/>
      <w:bookmarkStart w:id="6" w:name="_Toc277334033"/>
      <w:bookmarkStart w:id="7" w:name="_Toc277334236"/>
      <w:bookmarkStart w:id="8" w:name="_GoBack"/>
      <w:bookmarkEnd w:id="8"/>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-113665</wp:posOffset>
                </wp:positionH>
                <wp:positionV relativeFrom="paragraph">
                  <wp:posOffset>0</wp:posOffset>
                </wp:positionV>
                <wp:extent cx="5943600" cy="91440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5pt;margin-top:0;width:468pt;height:10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" filled="f" strokeweight="1.25pt"/>
            </w:pict>
          </mc:Fallback>
        </mc:AlternateContent>
      </w:r>
      <w:bookmarkEnd w:id="0"/>
      <w:bookmarkEnd w:id="1"/>
      <w:bookmarkEnd w:id="2"/>
      <w:bookmarkEnd w:id="3"/>
      <w:bookmarkEnd w:id="4"/>
      <w:bookmarkEnd w:id="5"/>
      <w:bookmarkEnd w:id="6"/>
      <w:bookmarkEnd w:id="7"/>
    </w:p>
    <w:p w:rsidR="00365F48" w:rsidRPr="00384EF8" w:rsidRDefault="00365F48" w:rsidP="00D70205">
      <w:pPr>
        <w:pStyle w:val="Title1"/>
      </w:pPr>
    </w:p>
    <w:p w:rsidR="00365F48" w:rsidRDefault="00365F48" w:rsidP="00E76E9B">
      <w:pPr>
        <w:pStyle w:val="Text"/>
        <w:jc w:val="center"/>
        <w:rPr>
          <w:b/>
          <w:bCs/>
          <w:sz w:val="56"/>
          <w:szCs w:val="56"/>
        </w:rPr>
      </w:pPr>
      <w:bookmarkStart w:id="9" w:name="_Toc273454590"/>
      <w:bookmarkStart w:id="10" w:name="_Toc273454705"/>
    </w:p>
    <w:p w:rsidR="00365F48" w:rsidRPr="00304CDF" w:rsidRDefault="00365F48" w:rsidP="00E76E9B">
      <w:pPr>
        <w:pStyle w:val="Text"/>
        <w:jc w:val="center"/>
        <w:rPr>
          <w:b/>
          <w:bCs/>
          <w:sz w:val="52"/>
          <w:szCs w:val="52"/>
        </w:rPr>
      </w:pPr>
      <w:r w:rsidRPr="00304CDF">
        <w:rPr>
          <w:b/>
          <w:bCs/>
          <w:sz w:val="52"/>
          <w:szCs w:val="52"/>
          <w:u w:val="single"/>
        </w:rPr>
        <w:t>C</w:t>
      </w:r>
      <w:r w:rsidRPr="00304CDF">
        <w:rPr>
          <w:b/>
          <w:bCs/>
          <w:sz w:val="52"/>
          <w:szCs w:val="52"/>
        </w:rPr>
        <w:t xml:space="preserve">lean </w:t>
      </w:r>
      <w:r w:rsidRPr="00304CDF">
        <w:rPr>
          <w:b/>
          <w:bCs/>
          <w:sz w:val="52"/>
          <w:szCs w:val="52"/>
          <w:u w:val="single"/>
        </w:rPr>
        <w:t>H</w:t>
      </w:r>
      <w:r w:rsidRPr="00304CDF">
        <w:rPr>
          <w:b/>
          <w:bCs/>
          <w:sz w:val="52"/>
          <w:szCs w:val="52"/>
        </w:rPr>
        <w:t xml:space="preserve">ydrogen </w:t>
      </w:r>
      <w:r w:rsidRPr="00304CDF">
        <w:rPr>
          <w:b/>
          <w:bCs/>
          <w:sz w:val="52"/>
          <w:szCs w:val="52"/>
          <w:u w:val="single"/>
        </w:rPr>
        <w:t>I</w:t>
      </w:r>
      <w:r w:rsidRPr="00304CDF">
        <w:rPr>
          <w:b/>
          <w:bCs/>
          <w:sz w:val="52"/>
          <w:szCs w:val="52"/>
        </w:rPr>
        <w:t>n Europe</w:t>
      </w:r>
      <w:r>
        <w:rPr>
          <w:b/>
          <w:bCs/>
          <w:sz w:val="52"/>
          <w:szCs w:val="52"/>
        </w:rPr>
        <w:t>an</w:t>
      </w:r>
      <w:r w:rsidRPr="00304CDF">
        <w:rPr>
          <w:b/>
          <w:bCs/>
          <w:sz w:val="52"/>
          <w:szCs w:val="52"/>
        </w:rPr>
        <w:t xml:space="preserve"> </w:t>
      </w:r>
      <w:r w:rsidRPr="00304CDF">
        <w:rPr>
          <w:b/>
          <w:bCs/>
          <w:sz w:val="52"/>
          <w:szCs w:val="52"/>
          <w:u w:val="single"/>
        </w:rPr>
        <w:t>C</w:t>
      </w:r>
      <w:r w:rsidRPr="00304CDF">
        <w:rPr>
          <w:b/>
          <w:bCs/>
          <w:sz w:val="52"/>
          <w:szCs w:val="52"/>
        </w:rPr>
        <w:t>ities</w:t>
      </w:r>
      <w:bookmarkEnd w:id="9"/>
      <w:bookmarkEnd w:id="10"/>
    </w:p>
    <w:p w:rsidR="00365F48" w:rsidRPr="00384EF8" w:rsidRDefault="00365F48" w:rsidP="00E76E9B">
      <w:pPr>
        <w:pStyle w:val="Text"/>
        <w:jc w:val="center"/>
      </w:pPr>
    </w:p>
    <w:p w:rsidR="00365F48" w:rsidRPr="00384EF8" w:rsidRDefault="00040E14" w:rsidP="00E76E9B">
      <w:pPr>
        <w:pStyle w:val="Text"/>
        <w:jc w:val="center"/>
      </w:pPr>
      <w:r>
        <w:rPr>
          <w:noProof/>
          <w:lang w:eastAsia="en-GB"/>
        </w:rPr>
        <w:drawing>
          <wp:inline distT="0" distB="0" distL="0" distR="0">
            <wp:extent cx="1647825" cy="609600"/>
            <wp:effectExtent l="19050" t="0" r="9525" b="0"/>
            <wp:docPr id="3" name="Picture 1" descr="Neues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es Bild"/>
                    <pic:cNvPicPr>
                      <a:picLocks noChangeAspect="1" noChangeArrowheads="1"/>
                    </pic:cNvPicPr>
                  </pic:nvPicPr>
                  <pic:blipFill>
                    <a:blip r:embed="rId9"/>
                    <a:srcRect/>
                    <a:stretch>
                      <a:fillRect/>
                    </a:stretch>
                  </pic:blipFill>
                  <pic:spPr bwMode="auto">
                    <a:xfrm>
                      <a:off x="0" y="0"/>
                      <a:ext cx="1647825" cy="609600"/>
                    </a:xfrm>
                    <a:prstGeom prst="rect">
                      <a:avLst/>
                    </a:prstGeom>
                    <a:noFill/>
                    <a:ln w="9525">
                      <a:noFill/>
                      <a:miter lim="800000"/>
                      <a:headEnd/>
                      <a:tailEnd/>
                    </a:ln>
                  </pic:spPr>
                </pic:pic>
              </a:graphicData>
            </a:graphic>
          </wp:inline>
        </w:drawing>
      </w:r>
    </w:p>
    <w:p w:rsidR="00365F48" w:rsidRPr="00384EF8" w:rsidRDefault="00365F48" w:rsidP="00E76E9B">
      <w:pPr>
        <w:pStyle w:val="Text"/>
        <w:jc w:val="center"/>
      </w:pPr>
    </w:p>
    <w:p w:rsidR="00365F48" w:rsidRPr="003024C8" w:rsidRDefault="00365F48" w:rsidP="00E76E9B">
      <w:pPr>
        <w:pStyle w:val="Text"/>
        <w:jc w:val="center"/>
        <w:rPr>
          <w:bCs/>
          <w:sz w:val="32"/>
          <w:szCs w:val="32"/>
        </w:rPr>
      </w:pPr>
      <w:r w:rsidRPr="003024C8">
        <w:rPr>
          <w:bCs/>
          <w:sz w:val="32"/>
          <w:szCs w:val="32"/>
          <w:lang w:val="en-AU"/>
        </w:rPr>
        <w:t xml:space="preserve">Grant agreement No: </w:t>
      </w:r>
      <w:r w:rsidRPr="003024C8">
        <w:rPr>
          <w:bCs/>
          <w:sz w:val="32"/>
          <w:szCs w:val="32"/>
        </w:rPr>
        <w:t>256848</w:t>
      </w:r>
    </w:p>
    <w:p w:rsidR="00365F48" w:rsidRPr="00384EF8" w:rsidRDefault="00365F48" w:rsidP="00E76E9B">
      <w:pPr>
        <w:pStyle w:val="Text"/>
        <w:jc w:val="center"/>
      </w:pPr>
    </w:p>
    <w:p w:rsidR="00365F48" w:rsidRPr="00384EF8" w:rsidRDefault="00365F48" w:rsidP="00E76E9B">
      <w:pPr>
        <w:pStyle w:val="Text"/>
        <w:jc w:val="center"/>
      </w:pPr>
    </w:p>
    <w:p w:rsidR="00365F48" w:rsidRPr="00384EF8" w:rsidRDefault="00365F48" w:rsidP="00EE24DF">
      <w:pPr>
        <w:pStyle w:val="Text"/>
        <w:jc w:val="center"/>
        <w:rPr>
          <w:sz w:val="32"/>
          <w:szCs w:val="32"/>
        </w:rPr>
      </w:pPr>
      <w:bookmarkStart w:id="11" w:name="_Toc273454592"/>
      <w:bookmarkStart w:id="12" w:name="_Toc273454707"/>
      <w:r w:rsidRPr="00384EF8">
        <w:rPr>
          <w:sz w:val="32"/>
          <w:szCs w:val="32"/>
        </w:rPr>
        <w:t xml:space="preserve">Deliverable No. </w:t>
      </w:r>
      <w:bookmarkEnd w:id="11"/>
      <w:bookmarkEnd w:id="12"/>
      <w:r>
        <w:rPr>
          <w:sz w:val="32"/>
          <w:szCs w:val="32"/>
        </w:rPr>
        <w:t>4.3</w:t>
      </w:r>
    </w:p>
    <w:p w:rsidR="00365F48" w:rsidRPr="003024C8" w:rsidRDefault="00365F48" w:rsidP="00EE24DF">
      <w:pPr>
        <w:autoSpaceDE w:val="0"/>
        <w:autoSpaceDN w:val="0"/>
        <w:adjustRightInd w:val="0"/>
        <w:jc w:val="center"/>
        <w:rPr>
          <w:b/>
          <w:sz w:val="44"/>
          <w:szCs w:val="44"/>
        </w:rPr>
      </w:pPr>
      <w:bookmarkStart w:id="13" w:name="_Toc273454593"/>
      <w:bookmarkStart w:id="14" w:name="_Toc273454708"/>
      <w:r w:rsidRPr="003024C8">
        <w:rPr>
          <w:b/>
          <w:sz w:val="44"/>
          <w:szCs w:val="44"/>
        </w:rPr>
        <w:t>&lt;</w:t>
      </w:r>
      <w:r w:rsidRPr="00906873">
        <w:rPr>
          <w:b/>
          <w:sz w:val="44"/>
          <w:szCs w:val="44"/>
        </w:rPr>
        <w:t>Report collecting the experience from the Phase 0 and Phase 1 cities with respect to certification of the buses &amp; H2 refuelling infrastructure</w:t>
      </w:r>
      <w:r w:rsidRPr="0016795A">
        <w:rPr>
          <w:sz w:val="22"/>
          <w:szCs w:val="22"/>
          <w:lang w:eastAsia="en-GB"/>
        </w:rPr>
        <w:t xml:space="preserve"> </w:t>
      </w:r>
      <w:r w:rsidRPr="003024C8">
        <w:rPr>
          <w:b/>
          <w:sz w:val="44"/>
          <w:szCs w:val="44"/>
        </w:rPr>
        <w:t>&gt;</w:t>
      </w:r>
      <w:bookmarkEnd w:id="13"/>
      <w:bookmarkEnd w:id="14"/>
    </w:p>
    <w:p w:rsidR="00365F48" w:rsidRPr="00365F48" w:rsidRDefault="00365F48" w:rsidP="00E76E9B">
      <w:pPr>
        <w:pStyle w:val="Text"/>
        <w:jc w:val="center"/>
        <w:rPr>
          <w:b/>
          <w:bCs/>
        </w:rPr>
      </w:pPr>
    </w:p>
    <w:p w:rsidR="00365F48" w:rsidRPr="00384EF8" w:rsidRDefault="00365F48" w:rsidP="00E76E9B">
      <w:pPr>
        <w:pStyle w:val="Text"/>
        <w:jc w:val="center"/>
      </w:pPr>
      <w:bookmarkStart w:id="15" w:name="_Toc273454594"/>
      <w:bookmarkStart w:id="16" w:name="_Toc273454709"/>
      <w:r w:rsidRPr="00384EF8">
        <w:rPr>
          <w:b/>
          <w:bCs/>
        </w:rPr>
        <w:t>Status:</w:t>
      </w:r>
      <w:r>
        <w:rPr>
          <w:b/>
          <w:bCs/>
        </w:rPr>
        <w:t>D</w:t>
      </w:r>
      <w:r w:rsidRPr="00384EF8">
        <w:rPr>
          <w:b/>
          <w:bCs/>
        </w:rPr>
        <w:t xml:space="preserve"> </w:t>
      </w:r>
      <w:r w:rsidRPr="00384EF8">
        <w:rPr>
          <w:b/>
          <w:bCs/>
        </w:rPr>
        <w:br/>
      </w:r>
      <w:bookmarkEnd w:id="15"/>
      <w:bookmarkEnd w:id="16"/>
      <w:r w:rsidRPr="00384EF8">
        <w:t>(D-Draft, FD-Final Draft, F-Final)</w:t>
      </w:r>
    </w:p>
    <w:p w:rsidR="00365F48" w:rsidRDefault="00365F48" w:rsidP="00E76E9B">
      <w:pPr>
        <w:pStyle w:val="Text"/>
        <w:jc w:val="center"/>
      </w:pPr>
      <w:bookmarkStart w:id="17" w:name="_Toc273454595"/>
      <w:bookmarkStart w:id="18" w:name="_Toc273454710"/>
      <w:r w:rsidRPr="00384EF8">
        <w:rPr>
          <w:b/>
          <w:bCs/>
        </w:rPr>
        <w:t>Dissemination level:</w:t>
      </w:r>
      <w:r>
        <w:rPr>
          <w:b/>
          <w:bCs/>
        </w:rPr>
        <w:t xml:space="preserve"> PU</w:t>
      </w:r>
      <w:r w:rsidRPr="00384EF8">
        <w:rPr>
          <w:b/>
          <w:bCs/>
        </w:rPr>
        <w:t xml:space="preserve"> </w:t>
      </w:r>
      <w:bookmarkEnd w:id="17"/>
      <w:bookmarkEnd w:id="18"/>
    </w:p>
    <w:p w:rsidR="00365F48" w:rsidRPr="00384EF8" w:rsidRDefault="00365F48" w:rsidP="00E76E9B">
      <w:pPr>
        <w:pStyle w:val="Text"/>
        <w:jc w:val="center"/>
        <w:rPr>
          <w:rStyle w:val="TextChar"/>
          <w:rFonts w:cs="Arial"/>
        </w:rPr>
      </w:pPr>
      <w:r w:rsidRPr="00384EF8">
        <w:t xml:space="preserve">(PU – Public, </w:t>
      </w:r>
      <w:r>
        <w:t xml:space="preserve">PP – Restricted to other programme participants, </w:t>
      </w:r>
      <w:r w:rsidRPr="00384EF8">
        <w:t>RE – Restricted</w:t>
      </w:r>
      <w:r w:rsidRPr="00DE45F8">
        <w:t xml:space="preserve"> </w:t>
      </w:r>
      <w:r>
        <w:t>to a group specified by the consortium</w:t>
      </w:r>
      <w:r w:rsidRPr="00384EF8">
        <w:t>,</w:t>
      </w:r>
      <w:r>
        <w:t xml:space="preserve"> </w:t>
      </w:r>
      <w:r w:rsidRPr="00384EF8">
        <w:t>CO – Confidential</w:t>
      </w:r>
      <w:r>
        <w:t>)</w:t>
      </w:r>
    </w:p>
    <w:p w:rsidR="00365F48" w:rsidRPr="00384EF8" w:rsidRDefault="00365F48" w:rsidP="00D70205">
      <w:pPr>
        <w:pStyle w:val="Title1"/>
      </w:pPr>
    </w:p>
    <w:p w:rsidR="00365F48" w:rsidRPr="00384EF8" w:rsidRDefault="00040E14" w:rsidP="00D70205">
      <w:pPr>
        <w:pStyle w:val="Title1"/>
      </w:pPr>
      <w:bookmarkStart w:id="19" w:name="_Toc277333763"/>
      <w:bookmarkStart w:id="20" w:name="_Toc277333811"/>
      <w:bookmarkStart w:id="21" w:name="_Toc277333826"/>
      <w:bookmarkStart w:id="22" w:name="_Toc277334009"/>
      <w:bookmarkStart w:id="23" w:name="_Toc277334034"/>
      <w:bookmarkStart w:id="24" w:name="_Toc277334237"/>
      <w:bookmarkStart w:id="25" w:name="_Toc277333764"/>
      <w:bookmarkStart w:id="26" w:name="_Toc277333812"/>
      <w:bookmarkStart w:id="27" w:name="_Toc277333827"/>
      <w:bookmarkStart w:id="28" w:name="_Toc277334010"/>
      <w:bookmarkStart w:id="29" w:name="_Toc277334035"/>
      <w:bookmarkStart w:id="30" w:name="_Toc277334238"/>
      <w:r>
        <w:rPr>
          <w:noProof/>
          <w:lang w:eastAsia="en-GB"/>
        </w:rPr>
        <w:drawing>
          <wp:anchor distT="0" distB="0" distL="114300" distR="114300" simplePos="0" relativeHeight="251658752" behindDoc="0" locked="0" layoutInCell="1" allowOverlap="1">
            <wp:simplePos x="0" y="0"/>
            <wp:positionH relativeFrom="column">
              <wp:posOffset>3137535</wp:posOffset>
            </wp:positionH>
            <wp:positionV relativeFrom="paragraph">
              <wp:posOffset>-8890</wp:posOffset>
            </wp:positionV>
            <wp:extent cx="1371600" cy="626745"/>
            <wp:effectExtent l="19050" t="0" r="0" b="0"/>
            <wp:wrapNone/>
            <wp:docPr id="5" name="Picture 5" descr="NewEnergyWorldJU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EnergyWorldJU_4c"/>
                    <pic:cNvPicPr>
                      <a:picLocks noChangeAspect="1" noChangeArrowheads="1"/>
                    </pic:cNvPicPr>
                  </pic:nvPicPr>
                  <pic:blipFill>
                    <a:blip r:embed="rId10"/>
                    <a:srcRect/>
                    <a:stretch>
                      <a:fillRect/>
                    </a:stretch>
                  </pic:blipFill>
                  <pic:spPr bwMode="auto">
                    <a:xfrm>
                      <a:off x="0" y="0"/>
                      <a:ext cx="1371600" cy="626745"/>
                    </a:xfrm>
                    <a:prstGeom prst="rect">
                      <a:avLst/>
                    </a:prstGeom>
                    <a:noFill/>
                  </pic:spPr>
                </pic:pic>
              </a:graphicData>
            </a:graphic>
          </wp:anchor>
        </w:drawing>
      </w:r>
      <w:r>
        <w:rPr>
          <w:noProof/>
          <w:lang w:eastAsia="en-GB"/>
        </w:rPr>
        <w:drawing>
          <wp:anchor distT="0" distB="0" distL="114300" distR="114300" simplePos="0" relativeHeight="251657728" behindDoc="0" locked="0" layoutInCell="1" allowOverlap="1">
            <wp:simplePos x="0" y="0"/>
            <wp:positionH relativeFrom="column">
              <wp:posOffset>114300</wp:posOffset>
            </wp:positionH>
            <wp:positionV relativeFrom="paragraph">
              <wp:posOffset>-8890</wp:posOffset>
            </wp:positionV>
            <wp:extent cx="862330" cy="574675"/>
            <wp:effectExtent l="19050" t="0" r="0" b="0"/>
            <wp:wrapSquare wrapText="bothSides"/>
            <wp:docPr id="4" name="Picture 4" descr="http://www.akl.lt/images/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kl.lt/images/EU-logo.jpg"/>
                    <pic:cNvPicPr>
                      <a:picLocks noChangeAspect="1" noChangeArrowheads="1"/>
                    </pic:cNvPicPr>
                  </pic:nvPicPr>
                  <pic:blipFill>
                    <a:blip r:embed="rId11"/>
                    <a:srcRect/>
                    <a:stretch>
                      <a:fillRect/>
                    </a:stretch>
                  </pic:blipFill>
                  <pic:spPr bwMode="auto">
                    <a:xfrm>
                      <a:off x="0" y="0"/>
                      <a:ext cx="862330" cy="574675"/>
                    </a:xfrm>
                    <a:prstGeom prst="rect">
                      <a:avLst/>
                    </a:prstGeom>
                    <a:noFill/>
                  </pic:spPr>
                </pic:pic>
              </a:graphicData>
            </a:graphic>
          </wp:anchor>
        </w:drawing>
      </w:r>
      <w:bookmarkEnd w:id="19"/>
      <w:bookmarkEnd w:id="20"/>
      <w:bookmarkEnd w:id="21"/>
      <w:bookmarkEnd w:id="22"/>
      <w:bookmarkEnd w:id="23"/>
      <w:bookmarkEnd w:id="24"/>
      <w:bookmarkEnd w:id="25"/>
      <w:bookmarkEnd w:id="26"/>
      <w:bookmarkEnd w:id="27"/>
      <w:bookmarkEnd w:id="28"/>
      <w:bookmarkEnd w:id="29"/>
      <w:bookmarkEnd w:id="30"/>
    </w:p>
    <w:p w:rsidR="00365F48" w:rsidRPr="00384EF8" w:rsidRDefault="00365F48" w:rsidP="00EA1745">
      <w:pPr>
        <w:pStyle w:val="Text"/>
        <w:sectPr w:rsidR="00365F48" w:rsidRPr="00384EF8" w:rsidSect="000C55EF">
          <w:type w:val="continuous"/>
          <w:pgSz w:w="11906" w:h="16838"/>
          <w:pgMar w:top="1417" w:right="1417" w:bottom="1134" w:left="1417" w:header="708" w:footer="708" w:gutter="0"/>
          <w:cols w:space="708"/>
          <w:docGrid w:linePitch="360"/>
        </w:sectPr>
      </w:pPr>
    </w:p>
    <w:p w:rsidR="00365F48" w:rsidRPr="00384EF8" w:rsidRDefault="00365F48" w:rsidP="00EA1745">
      <w:pPr>
        <w:pStyle w:val="Text"/>
      </w:pPr>
    </w:p>
    <w:p w:rsidR="00365F48" w:rsidRPr="00384EF8" w:rsidRDefault="00365F48" w:rsidP="00D70205">
      <w:pPr>
        <w:pStyle w:val="Title1"/>
        <w:jc w:val="left"/>
      </w:pPr>
    </w:p>
    <w:p w:rsidR="00365F48" w:rsidRPr="00384EF8" w:rsidRDefault="00365F48" w:rsidP="00E76E9B">
      <w:pPr>
        <w:pStyle w:val="Text"/>
        <w:rPr>
          <w:b/>
          <w:bCs/>
          <w:sz w:val="32"/>
          <w:szCs w:val="32"/>
        </w:rPr>
      </w:pPr>
      <w:bookmarkStart w:id="31" w:name="_Toc273454597"/>
      <w:bookmarkStart w:id="32" w:name="_Toc273454712"/>
      <w:r w:rsidRPr="00384EF8">
        <w:rPr>
          <w:b/>
          <w:bCs/>
          <w:sz w:val="32"/>
          <w:szCs w:val="32"/>
        </w:rPr>
        <w:t>Authors:</w:t>
      </w:r>
      <w:bookmarkEnd w:id="31"/>
      <w:bookmarkEnd w:id="32"/>
    </w:p>
    <w:p w:rsidR="00365F48" w:rsidRPr="00384EF8" w:rsidRDefault="00365F48" w:rsidP="00570CEE">
      <w:pPr>
        <w:pStyle w:val="Text"/>
      </w:pPr>
    </w:p>
    <w:p w:rsidR="00365F48" w:rsidRPr="00E74724" w:rsidRDefault="00365F48" w:rsidP="0061349A">
      <w:pPr>
        <w:pStyle w:val="Text"/>
        <w:rPr>
          <w:lang w:val="en-US"/>
        </w:rPr>
      </w:pPr>
      <w:r w:rsidRPr="00F556D9">
        <w:rPr>
          <w:b/>
        </w:rPr>
        <w:t xml:space="preserve">Marieke Reijalt </w:t>
      </w:r>
      <w:r w:rsidRPr="00F556D9">
        <w:rPr>
          <w:b/>
        </w:rPr>
        <w:br/>
      </w:r>
      <w:r w:rsidRPr="00E74724">
        <w:rPr>
          <w:lang w:val="en-US"/>
        </w:rPr>
        <w:t>Eleni Seriatou</w:t>
      </w: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p>
    <w:p w:rsidR="00365F48" w:rsidRPr="00E74724" w:rsidRDefault="00365F48" w:rsidP="00030FC1">
      <w:pPr>
        <w:pStyle w:val="Text"/>
        <w:rPr>
          <w:lang w:val="en-US"/>
        </w:rPr>
      </w:pPr>
      <w:r w:rsidRPr="00E74724">
        <w:rPr>
          <w:lang w:val="en-US"/>
        </w:rPr>
        <w:t>HyER Secretariat</w:t>
      </w:r>
    </w:p>
    <w:p w:rsidR="00365F48" w:rsidRPr="00E74724" w:rsidRDefault="00365F48" w:rsidP="00030FC1">
      <w:pPr>
        <w:pStyle w:val="Text"/>
        <w:rPr>
          <w:lang w:val="en-US"/>
        </w:rPr>
      </w:pPr>
      <w:r w:rsidRPr="00E74724">
        <w:rPr>
          <w:lang w:val="en-US"/>
        </w:rPr>
        <w:t xml:space="preserve">Square de Meeus 1, </w:t>
      </w:r>
      <w:r>
        <w:t xml:space="preserve"> </w:t>
      </w:r>
    </w:p>
    <w:p w:rsidR="00365F48" w:rsidRDefault="00365F48" w:rsidP="00030FC1">
      <w:pPr>
        <w:pStyle w:val="Text"/>
      </w:pPr>
      <w:r>
        <w:t xml:space="preserve">1000 </w:t>
      </w:r>
      <w:r w:rsidRPr="00B23A66">
        <w:t>Brussels</w:t>
      </w:r>
      <w:r>
        <w:t xml:space="preserve">, </w:t>
      </w:r>
    </w:p>
    <w:p w:rsidR="00365F48" w:rsidRPr="00E76E9B" w:rsidRDefault="00365F48" w:rsidP="00030FC1">
      <w:pPr>
        <w:pStyle w:val="Text"/>
      </w:pPr>
      <w:r w:rsidRPr="00B23A66">
        <w:t>Belgium</w:t>
      </w:r>
    </w:p>
    <w:p w:rsidR="00365F48" w:rsidRPr="00E76E9B" w:rsidRDefault="00365F48" w:rsidP="00030FC1">
      <w:pPr>
        <w:pStyle w:val="Text"/>
      </w:pPr>
    </w:p>
    <w:p w:rsidR="00365F48" w:rsidRPr="00E76E9B" w:rsidRDefault="00365F48" w:rsidP="00030FC1">
      <w:pPr>
        <w:pStyle w:val="Text"/>
      </w:pPr>
      <w:r w:rsidRPr="00E76E9B">
        <w:t>Author printed in bold is the contact person for this document.</w:t>
      </w:r>
    </w:p>
    <w:p w:rsidR="00365F48" w:rsidRDefault="00365F48" w:rsidP="00030FC1">
      <w:pPr>
        <w:pStyle w:val="Text"/>
      </w:pPr>
    </w:p>
    <w:p w:rsidR="00365F48" w:rsidRDefault="00365F48" w:rsidP="00030FC1">
      <w:pPr>
        <w:pStyle w:val="Text"/>
      </w:pPr>
    </w:p>
    <w:p w:rsidR="00365F48" w:rsidRDefault="00365F48" w:rsidP="00030FC1">
      <w:pPr>
        <w:pStyle w:val="Text"/>
      </w:pPr>
    </w:p>
    <w:p w:rsidR="00365F48" w:rsidRDefault="00365F48" w:rsidP="00030FC1">
      <w:pPr>
        <w:pStyle w:val="Text"/>
      </w:pPr>
    </w:p>
    <w:p w:rsidR="00365F48" w:rsidRDefault="00365F48" w:rsidP="00030FC1">
      <w:pPr>
        <w:pStyle w:val="Text"/>
      </w:pPr>
    </w:p>
    <w:p w:rsidR="00365F48" w:rsidRPr="00E76E9B" w:rsidRDefault="00365F48" w:rsidP="00030FC1">
      <w:pPr>
        <w:pStyle w:val="Text"/>
      </w:pPr>
    </w:p>
    <w:p w:rsidR="00365F48" w:rsidRPr="00384EF8" w:rsidRDefault="00365F48" w:rsidP="00570CEE">
      <w:pPr>
        <w:pStyle w:val="Text"/>
      </w:pPr>
    </w:p>
    <w:p w:rsidR="00365F48" w:rsidRDefault="00365F48">
      <w:r>
        <w:br w:type="page"/>
      </w:r>
    </w:p>
    <w:p w:rsidR="00365F48" w:rsidRPr="00384EF8" w:rsidRDefault="00365F48" w:rsidP="00256F72">
      <w:pPr>
        <w:pStyle w:val="Text"/>
        <w:rPr>
          <w:b/>
          <w:bCs/>
          <w:sz w:val="32"/>
          <w:szCs w:val="32"/>
        </w:rPr>
      </w:pPr>
      <w:bookmarkStart w:id="33" w:name="_Toc165715835"/>
      <w:bookmarkStart w:id="34" w:name="_Toc166401044"/>
      <w:r w:rsidRPr="00384EF8">
        <w:rPr>
          <w:b/>
          <w:bCs/>
          <w:sz w:val="32"/>
          <w:szCs w:val="32"/>
        </w:rPr>
        <w:lastRenderedPageBreak/>
        <w:t>Table of contents</w:t>
      </w:r>
      <w:bookmarkEnd w:id="33"/>
      <w:bookmarkEnd w:id="34"/>
    </w:p>
    <w:p w:rsidR="00E00D93" w:rsidRDefault="004360D4">
      <w:pPr>
        <w:pStyle w:val="TOC1"/>
        <w:tabs>
          <w:tab w:val="left" w:pos="480"/>
          <w:tab w:val="right" w:leader="dot" w:pos="9062"/>
        </w:tabs>
        <w:rPr>
          <w:rFonts w:asciiTheme="minorHAnsi" w:eastAsiaTheme="minorEastAsia" w:hAnsiTheme="minorHAnsi" w:cstheme="minorBidi"/>
          <w:b w:val="0"/>
          <w:bCs w:val="0"/>
          <w:caps w:val="0"/>
          <w:noProof/>
          <w:sz w:val="22"/>
          <w:szCs w:val="22"/>
          <w:lang w:val="nl-BE" w:eastAsia="nl-BE"/>
        </w:rPr>
      </w:pPr>
      <w:r w:rsidRPr="00AA0F5C">
        <w:rPr>
          <w:lang w:val="en-US"/>
        </w:rPr>
        <w:fldChar w:fldCharType="begin"/>
      </w:r>
      <w:r w:rsidR="00365F48" w:rsidRPr="00AA0F5C">
        <w:rPr>
          <w:lang w:val="en-US"/>
        </w:rPr>
        <w:instrText xml:space="preserve"> TOC \o "1-3" \h \z \u </w:instrText>
      </w:r>
      <w:r w:rsidRPr="00AA0F5C">
        <w:rPr>
          <w:lang w:val="en-US"/>
        </w:rPr>
        <w:fldChar w:fldCharType="separate"/>
      </w:r>
      <w:hyperlink w:anchor="_Toc339439399" w:history="1">
        <w:r w:rsidR="00E00D93" w:rsidRPr="00972DDE">
          <w:rPr>
            <w:rStyle w:val="Hyperlink"/>
            <w:noProof/>
          </w:rPr>
          <w:t>0.</w:t>
        </w:r>
        <w:r w:rsidR="00E00D93">
          <w:rPr>
            <w:rFonts w:asciiTheme="minorHAnsi" w:eastAsiaTheme="minorEastAsia" w:hAnsiTheme="minorHAnsi" w:cstheme="minorBidi"/>
            <w:b w:val="0"/>
            <w:bCs w:val="0"/>
            <w:caps w:val="0"/>
            <w:noProof/>
            <w:sz w:val="22"/>
            <w:szCs w:val="22"/>
            <w:lang w:val="nl-BE" w:eastAsia="nl-BE"/>
          </w:rPr>
          <w:tab/>
        </w:r>
        <w:r w:rsidR="00E00D93" w:rsidRPr="00972DDE">
          <w:rPr>
            <w:rStyle w:val="Hyperlink"/>
            <w:noProof/>
          </w:rPr>
          <w:t>Executive Summary</w:t>
        </w:r>
        <w:r w:rsidR="00E00D93">
          <w:rPr>
            <w:noProof/>
            <w:webHidden/>
          </w:rPr>
          <w:tab/>
        </w:r>
        <w:r>
          <w:rPr>
            <w:noProof/>
            <w:webHidden/>
          </w:rPr>
          <w:fldChar w:fldCharType="begin"/>
        </w:r>
        <w:r w:rsidR="00E00D93">
          <w:rPr>
            <w:noProof/>
            <w:webHidden/>
          </w:rPr>
          <w:instrText xml:space="preserve"> PAGEREF _Toc339439399 \h </w:instrText>
        </w:r>
        <w:r>
          <w:rPr>
            <w:noProof/>
            <w:webHidden/>
          </w:rPr>
        </w:r>
        <w:r>
          <w:rPr>
            <w:noProof/>
            <w:webHidden/>
          </w:rPr>
          <w:fldChar w:fldCharType="separate"/>
        </w:r>
        <w:r w:rsidR="00E00D93">
          <w:rPr>
            <w:noProof/>
            <w:webHidden/>
          </w:rPr>
          <w:t>6</w:t>
        </w:r>
        <w:r>
          <w:rPr>
            <w:noProof/>
            <w:webHidden/>
          </w:rPr>
          <w:fldChar w:fldCharType="end"/>
        </w:r>
      </w:hyperlink>
    </w:p>
    <w:p w:rsidR="00E00D93" w:rsidRDefault="0029070B">
      <w:pPr>
        <w:pStyle w:val="TOC2"/>
        <w:tabs>
          <w:tab w:val="left" w:pos="720"/>
          <w:tab w:val="right" w:leader="dot" w:pos="9062"/>
        </w:tabs>
        <w:rPr>
          <w:rFonts w:asciiTheme="minorHAnsi" w:eastAsiaTheme="minorEastAsia" w:hAnsiTheme="minorHAnsi" w:cstheme="minorBidi"/>
          <w:b w:val="0"/>
          <w:bCs w:val="0"/>
          <w:noProof/>
          <w:sz w:val="22"/>
          <w:szCs w:val="22"/>
          <w:lang w:val="nl-BE" w:eastAsia="nl-BE"/>
        </w:rPr>
      </w:pPr>
      <w:hyperlink w:anchor="_Toc339439400" w:history="1">
        <w:r w:rsidR="00E00D93" w:rsidRPr="00972DDE">
          <w:rPr>
            <w:rStyle w:val="Hyperlink"/>
            <w:noProof/>
          </w:rPr>
          <w:t>0.1</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The approach</w:t>
        </w:r>
        <w:r w:rsidR="00E00D93">
          <w:rPr>
            <w:noProof/>
            <w:webHidden/>
          </w:rPr>
          <w:tab/>
        </w:r>
        <w:r w:rsidR="004360D4">
          <w:rPr>
            <w:noProof/>
            <w:webHidden/>
          </w:rPr>
          <w:fldChar w:fldCharType="begin"/>
        </w:r>
        <w:r w:rsidR="00E00D93">
          <w:rPr>
            <w:noProof/>
            <w:webHidden/>
          </w:rPr>
          <w:instrText xml:space="preserve"> PAGEREF _Toc339439400 \h </w:instrText>
        </w:r>
        <w:r w:rsidR="004360D4">
          <w:rPr>
            <w:noProof/>
            <w:webHidden/>
          </w:rPr>
        </w:r>
        <w:r w:rsidR="004360D4">
          <w:rPr>
            <w:noProof/>
            <w:webHidden/>
          </w:rPr>
          <w:fldChar w:fldCharType="separate"/>
        </w:r>
        <w:r w:rsidR="00E00D93">
          <w:rPr>
            <w:noProof/>
            <w:webHidden/>
          </w:rPr>
          <w:t>7</w:t>
        </w:r>
        <w:r w:rsidR="004360D4">
          <w:rPr>
            <w:noProof/>
            <w:webHidden/>
          </w:rPr>
          <w:fldChar w:fldCharType="end"/>
        </w:r>
      </w:hyperlink>
    </w:p>
    <w:p w:rsidR="00E00D93" w:rsidRDefault="0029070B">
      <w:pPr>
        <w:pStyle w:val="TOC2"/>
        <w:tabs>
          <w:tab w:val="left" w:pos="720"/>
          <w:tab w:val="right" w:leader="dot" w:pos="9062"/>
        </w:tabs>
        <w:rPr>
          <w:rFonts w:asciiTheme="minorHAnsi" w:eastAsiaTheme="minorEastAsia" w:hAnsiTheme="minorHAnsi" w:cstheme="minorBidi"/>
          <w:b w:val="0"/>
          <w:bCs w:val="0"/>
          <w:noProof/>
          <w:sz w:val="22"/>
          <w:szCs w:val="22"/>
          <w:lang w:val="nl-BE" w:eastAsia="nl-BE"/>
        </w:rPr>
      </w:pPr>
      <w:hyperlink w:anchor="_Toc339439401" w:history="1">
        <w:r w:rsidR="00E00D93" w:rsidRPr="00972DDE">
          <w:rPr>
            <w:rStyle w:val="Hyperlink"/>
            <w:noProof/>
            <w:lang w:val="en-US"/>
          </w:rPr>
          <w:t>0.2</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lang w:val="en-US"/>
          </w:rPr>
          <w:t>Structure</w:t>
        </w:r>
        <w:r w:rsidR="00E00D93">
          <w:rPr>
            <w:noProof/>
            <w:webHidden/>
          </w:rPr>
          <w:tab/>
        </w:r>
        <w:r w:rsidR="004360D4">
          <w:rPr>
            <w:noProof/>
            <w:webHidden/>
          </w:rPr>
          <w:fldChar w:fldCharType="begin"/>
        </w:r>
        <w:r w:rsidR="00E00D93">
          <w:rPr>
            <w:noProof/>
            <w:webHidden/>
          </w:rPr>
          <w:instrText xml:space="preserve"> PAGEREF _Toc339439401 \h </w:instrText>
        </w:r>
        <w:r w:rsidR="004360D4">
          <w:rPr>
            <w:noProof/>
            <w:webHidden/>
          </w:rPr>
        </w:r>
        <w:r w:rsidR="004360D4">
          <w:rPr>
            <w:noProof/>
            <w:webHidden/>
          </w:rPr>
          <w:fldChar w:fldCharType="separate"/>
        </w:r>
        <w:r w:rsidR="00E00D93">
          <w:rPr>
            <w:noProof/>
            <w:webHidden/>
          </w:rPr>
          <w:t>8</w:t>
        </w:r>
        <w:r w:rsidR="004360D4">
          <w:rPr>
            <w:noProof/>
            <w:webHidden/>
          </w:rPr>
          <w:fldChar w:fldCharType="end"/>
        </w:r>
      </w:hyperlink>
    </w:p>
    <w:p w:rsidR="00E00D93" w:rsidRDefault="0029070B">
      <w:pPr>
        <w:pStyle w:val="TOC1"/>
        <w:tabs>
          <w:tab w:val="left" w:pos="480"/>
          <w:tab w:val="right" w:leader="dot" w:pos="9062"/>
        </w:tabs>
        <w:rPr>
          <w:rFonts w:asciiTheme="minorHAnsi" w:eastAsiaTheme="minorEastAsia" w:hAnsiTheme="minorHAnsi" w:cstheme="minorBidi"/>
          <w:b w:val="0"/>
          <w:bCs w:val="0"/>
          <w:caps w:val="0"/>
          <w:noProof/>
          <w:sz w:val="22"/>
          <w:szCs w:val="22"/>
          <w:lang w:val="nl-BE" w:eastAsia="nl-BE"/>
        </w:rPr>
      </w:pPr>
      <w:hyperlink w:anchor="_Toc339439402" w:history="1">
        <w:r w:rsidR="00E00D93" w:rsidRPr="00972DDE">
          <w:rPr>
            <w:rStyle w:val="Hyperlink"/>
            <w:noProof/>
            <w:lang w:val="en-US"/>
          </w:rPr>
          <w:t>A.</w:t>
        </w:r>
        <w:r w:rsidR="00E00D93">
          <w:rPr>
            <w:rFonts w:asciiTheme="minorHAnsi" w:eastAsiaTheme="minorEastAsia" w:hAnsiTheme="minorHAnsi" w:cstheme="minorBidi"/>
            <w:b w:val="0"/>
            <w:bCs w:val="0"/>
            <w:caps w:val="0"/>
            <w:noProof/>
            <w:sz w:val="22"/>
            <w:szCs w:val="22"/>
            <w:lang w:val="nl-BE" w:eastAsia="nl-BE"/>
          </w:rPr>
          <w:tab/>
        </w:r>
        <w:r w:rsidR="00E00D93" w:rsidRPr="00972DDE">
          <w:rPr>
            <w:rStyle w:val="Hyperlink"/>
            <w:noProof/>
            <w:lang w:val="en-US"/>
          </w:rPr>
          <w:t>Hydrogen refuelling stations</w:t>
        </w:r>
        <w:r w:rsidR="00E00D93">
          <w:rPr>
            <w:noProof/>
            <w:webHidden/>
          </w:rPr>
          <w:tab/>
        </w:r>
        <w:r w:rsidR="004360D4">
          <w:rPr>
            <w:noProof/>
            <w:webHidden/>
          </w:rPr>
          <w:fldChar w:fldCharType="begin"/>
        </w:r>
        <w:r w:rsidR="00E00D93">
          <w:rPr>
            <w:noProof/>
            <w:webHidden/>
          </w:rPr>
          <w:instrText xml:space="preserve"> PAGEREF _Toc339439402 \h </w:instrText>
        </w:r>
        <w:r w:rsidR="004360D4">
          <w:rPr>
            <w:noProof/>
            <w:webHidden/>
          </w:rPr>
        </w:r>
        <w:r w:rsidR="004360D4">
          <w:rPr>
            <w:noProof/>
            <w:webHidden/>
          </w:rPr>
          <w:fldChar w:fldCharType="separate"/>
        </w:r>
        <w:r w:rsidR="00E00D93">
          <w:rPr>
            <w:noProof/>
            <w:webHidden/>
          </w:rPr>
          <w:t>9</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3" w:history="1">
        <w:r w:rsidR="00E00D93" w:rsidRPr="00972DDE">
          <w:rPr>
            <w:rStyle w:val="Hyperlink"/>
            <w:noProof/>
            <w:lang w:val="en-US"/>
          </w:rPr>
          <w:t>1.</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lang w:val="en-US"/>
          </w:rPr>
          <w:t>Stakeholders involved in the permitting process</w:t>
        </w:r>
        <w:r w:rsidR="00E00D93">
          <w:rPr>
            <w:noProof/>
            <w:webHidden/>
          </w:rPr>
          <w:tab/>
        </w:r>
        <w:r w:rsidR="004360D4">
          <w:rPr>
            <w:noProof/>
            <w:webHidden/>
          </w:rPr>
          <w:fldChar w:fldCharType="begin"/>
        </w:r>
        <w:r w:rsidR="00E00D93">
          <w:rPr>
            <w:noProof/>
            <w:webHidden/>
          </w:rPr>
          <w:instrText xml:space="preserve"> PAGEREF _Toc339439403 \h </w:instrText>
        </w:r>
        <w:r w:rsidR="004360D4">
          <w:rPr>
            <w:noProof/>
            <w:webHidden/>
          </w:rPr>
        </w:r>
        <w:r w:rsidR="004360D4">
          <w:rPr>
            <w:noProof/>
            <w:webHidden/>
          </w:rPr>
          <w:fldChar w:fldCharType="separate"/>
        </w:r>
        <w:r w:rsidR="00E00D93">
          <w:rPr>
            <w:noProof/>
            <w:webHidden/>
          </w:rPr>
          <w:t>9</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4" w:history="1">
        <w:r w:rsidR="00E00D93" w:rsidRPr="00972DDE">
          <w:rPr>
            <w:rStyle w:val="Hyperlink"/>
            <w:noProof/>
          </w:rPr>
          <w:t>2.</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Laws and regulations applied</w:t>
        </w:r>
        <w:r w:rsidR="00E00D93">
          <w:rPr>
            <w:noProof/>
            <w:webHidden/>
          </w:rPr>
          <w:tab/>
        </w:r>
        <w:r w:rsidR="004360D4">
          <w:rPr>
            <w:noProof/>
            <w:webHidden/>
          </w:rPr>
          <w:fldChar w:fldCharType="begin"/>
        </w:r>
        <w:r w:rsidR="00E00D93">
          <w:rPr>
            <w:noProof/>
            <w:webHidden/>
          </w:rPr>
          <w:instrText xml:space="preserve"> PAGEREF _Toc339439404 \h </w:instrText>
        </w:r>
        <w:r w:rsidR="004360D4">
          <w:rPr>
            <w:noProof/>
            <w:webHidden/>
          </w:rPr>
        </w:r>
        <w:r w:rsidR="004360D4">
          <w:rPr>
            <w:noProof/>
            <w:webHidden/>
          </w:rPr>
          <w:fldChar w:fldCharType="separate"/>
        </w:r>
        <w:r w:rsidR="00E00D93">
          <w:rPr>
            <w:noProof/>
            <w:webHidden/>
          </w:rPr>
          <w:t>12</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5" w:history="1">
        <w:r w:rsidR="00E00D93" w:rsidRPr="00972DDE">
          <w:rPr>
            <w:rStyle w:val="Hyperlink"/>
            <w:noProof/>
          </w:rPr>
          <w:t>3.</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Permits required</w:t>
        </w:r>
        <w:r w:rsidR="00E00D93">
          <w:rPr>
            <w:noProof/>
            <w:webHidden/>
          </w:rPr>
          <w:tab/>
        </w:r>
        <w:r w:rsidR="004360D4">
          <w:rPr>
            <w:noProof/>
            <w:webHidden/>
          </w:rPr>
          <w:fldChar w:fldCharType="begin"/>
        </w:r>
        <w:r w:rsidR="00E00D93">
          <w:rPr>
            <w:noProof/>
            <w:webHidden/>
          </w:rPr>
          <w:instrText xml:space="preserve"> PAGEREF _Toc339439405 \h </w:instrText>
        </w:r>
        <w:r w:rsidR="004360D4">
          <w:rPr>
            <w:noProof/>
            <w:webHidden/>
          </w:rPr>
        </w:r>
        <w:r w:rsidR="004360D4">
          <w:rPr>
            <w:noProof/>
            <w:webHidden/>
          </w:rPr>
          <w:fldChar w:fldCharType="separate"/>
        </w:r>
        <w:r w:rsidR="00E00D93">
          <w:rPr>
            <w:noProof/>
            <w:webHidden/>
          </w:rPr>
          <w:t>13</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6" w:history="1">
        <w:r w:rsidR="00E00D93" w:rsidRPr="00972DDE">
          <w:rPr>
            <w:rStyle w:val="Hyperlink"/>
            <w:noProof/>
          </w:rPr>
          <w:t>4.</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Required information by authorities</w:t>
        </w:r>
        <w:r w:rsidR="00E00D93">
          <w:rPr>
            <w:noProof/>
            <w:webHidden/>
          </w:rPr>
          <w:tab/>
        </w:r>
        <w:r w:rsidR="004360D4">
          <w:rPr>
            <w:noProof/>
            <w:webHidden/>
          </w:rPr>
          <w:fldChar w:fldCharType="begin"/>
        </w:r>
        <w:r w:rsidR="00E00D93">
          <w:rPr>
            <w:noProof/>
            <w:webHidden/>
          </w:rPr>
          <w:instrText xml:space="preserve"> PAGEREF _Toc339439406 \h </w:instrText>
        </w:r>
        <w:r w:rsidR="004360D4">
          <w:rPr>
            <w:noProof/>
            <w:webHidden/>
          </w:rPr>
        </w:r>
        <w:r w:rsidR="004360D4">
          <w:rPr>
            <w:noProof/>
            <w:webHidden/>
          </w:rPr>
          <w:fldChar w:fldCharType="separate"/>
        </w:r>
        <w:r w:rsidR="00E00D93">
          <w:rPr>
            <w:noProof/>
            <w:webHidden/>
          </w:rPr>
          <w:t>15</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7" w:history="1">
        <w:r w:rsidR="00E00D93" w:rsidRPr="00972DDE">
          <w:rPr>
            <w:rStyle w:val="Hyperlink"/>
            <w:noProof/>
          </w:rPr>
          <w:t>5.</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Target groups for safety assessment</w:t>
        </w:r>
        <w:r w:rsidR="00E00D93">
          <w:rPr>
            <w:noProof/>
            <w:webHidden/>
          </w:rPr>
          <w:tab/>
        </w:r>
        <w:r w:rsidR="004360D4">
          <w:rPr>
            <w:noProof/>
            <w:webHidden/>
          </w:rPr>
          <w:fldChar w:fldCharType="begin"/>
        </w:r>
        <w:r w:rsidR="00E00D93">
          <w:rPr>
            <w:noProof/>
            <w:webHidden/>
          </w:rPr>
          <w:instrText xml:space="preserve"> PAGEREF _Toc339439407 \h </w:instrText>
        </w:r>
        <w:r w:rsidR="004360D4">
          <w:rPr>
            <w:noProof/>
            <w:webHidden/>
          </w:rPr>
        </w:r>
        <w:r w:rsidR="004360D4">
          <w:rPr>
            <w:noProof/>
            <w:webHidden/>
          </w:rPr>
          <w:fldChar w:fldCharType="separate"/>
        </w:r>
        <w:r w:rsidR="00E00D93">
          <w:rPr>
            <w:noProof/>
            <w:webHidden/>
          </w:rPr>
          <w:t>16</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8" w:history="1">
        <w:r w:rsidR="00E00D93" w:rsidRPr="00972DDE">
          <w:rPr>
            <w:rStyle w:val="Hyperlink"/>
            <w:noProof/>
          </w:rPr>
          <w:t>6.</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Technical standards used</w:t>
        </w:r>
        <w:r w:rsidR="00E00D93">
          <w:rPr>
            <w:noProof/>
            <w:webHidden/>
          </w:rPr>
          <w:tab/>
        </w:r>
        <w:r w:rsidR="004360D4">
          <w:rPr>
            <w:noProof/>
            <w:webHidden/>
          </w:rPr>
          <w:fldChar w:fldCharType="begin"/>
        </w:r>
        <w:r w:rsidR="00E00D93">
          <w:rPr>
            <w:noProof/>
            <w:webHidden/>
          </w:rPr>
          <w:instrText xml:space="preserve"> PAGEREF _Toc339439408 \h </w:instrText>
        </w:r>
        <w:r w:rsidR="004360D4">
          <w:rPr>
            <w:noProof/>
            <w:webHidden/>
          </w:rPr>
        </w:r>
        <w:r w:rsidR="004360D4">
          <w:rPr>
            <w:noProof/>
            <w:webHidden/>
          </w:rPr>
          <w:fldChar w:fldCharType="separate"/>
        </w:r>
        <w:r w:rsidR="00E00D93">
          <w:rPr>
            <w:noProof/>
            <w:webHidden/>
          </w:rPr>
          <w:t>17</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09" w:history="1">
        <w:r w:rsidR="00E00D93" w:rsidRPr="00972DDE">
          <w:rPr>
            <w:rStyle w:val="Hyperlink"/>
            <w:noProof/>
          </w:rPr>
          <w:t>7.</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Methodologies and guidelines for the assessment of external (off-site) external effects damage and risks</w:t>
        </w:r>
        <w:r w:rsidR="00E00D93">
          <w:rPr>
            <w:noProof/>
            <w:webHidden/>
          </w:rPr>
          <w:tab/>
        </w:r>
        <w:r w:rsidR="004360D4">
          <w:rPr>
            <w:noProof/>
            <w:webHidden/>
          </w:rPr>
          <w:fldChar w:fldCharType="begin"/>
        </w:r>
        <w:r w:rsidR="00E00D93">
          <w:rPr>
            <w:noProof/>
            <w:webHidden/>
          </w:rPr>
          <w:instrText xml:space="preserve"> PAGEREF _Toc339439409 \h </w:instrText>
        </w:r>
        <w:r w:rsidR="004360D4">
          <w:rPr>
            <w:noProof/>
            <w:webHidden/>
          </w:rPr>
        </w:r>
        <w:r w:rsidR="004360D4">
          <w:rPr>
            <w:noProof/>
            <w:webHidden/>
          </w:rPr>
          <w:fldChar w:fldCharType="separate"/>
        </w:r>
        <w:r w:rsidR="00E00D93">
          <w:rPr>
            <w:noProof/>
            <w:webHidden/>
          </w:rPr>
          <w:t>18</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10" w:history="1">
        <w:r w:rsidR="00E00D93" w:rsidRPr="00972DDE">
          <w:rPr>
            <w:rStyle w:val="Hyperlink"/>
            <w:noProof/>
          </w:rPr>
          <w:t>8.</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Inspection protocol</w:t>
        </w:r>
        <w:r w:rsidR="00E00D93">
          <w:rPr>
            <w:noProof/>
            <w:webHidden/>
          </w:rPr>
          <w:tab/>
        </w:r>
        <w:r w:rsidR="004360D4">
          <w:rPr>
            <w:noProof/>
            <w:webHidden/>
          </w:rPr>
          <w:fldChar w:fldCharType="begin"/>
        </w:r>
        <w:r w:rsidR="00E00D93">
          <w:rPr>
            <w:noProof/>
            <w:webHidden/>
          </w:rPr>
          <w:instrText xml:space="preserve"> PAGEREF _Toc339439410 \h </w:instrText>
        </w:r>
        <w:r w:rsidR="004360D4">
          <w:rPr>
            <w:noProof/>
            <w:webHidden/>
          </w:rPr>
        </w:r>
        <w:r w:rsidR="004360D4">
          <w:rPr>
            <w:noProof/>
            <w:webHidden/>
          </w:rPr>
          <w:fldChar w:fldCharType="separate"/>
        </w:r>
        <w:r w:rsidR="00E00D93">
          <w:rPr>
            <w:noProof/>
            <w:webHidden/>
          </w:rPr>
          <w:t>19</w:t>
        </w:r>
        <w:r w:rsidR="004360D4">
          <w:rPr>
            <w:noProof/>
            <w:webHidden/>
          </w:rPr>
          <w:fldChar w:fldCharType="end"/>
        </w:r>
      </w:hyperlink>
    </w:p>
    <w:p w:rsidR="00E00D93" w:rsidRDefault="0029070B">
      <w:pPr>
        <w:pStyle w:val="TOC2"/>
        <w:tabs>
          <w:tab w:val="left" w:pos="480"/>
          <w:tab w:val="right" w:leader="dot" w:pos="9062"/>
        </w:tabs>
        <w:rPr>
          <w:rFonts w:asciiTheme="minorHAnsi" w:eastAsiaTheme="minorEastAsia" w:hAnsiTheme="minorHAnsi" w:cstheme="minorBidi"/>
          <w:b w:val="0"/>
          <w:bCs w:val="0"/>
          <w:noProof/>
          <w:sz w:val="22"/>
          <w:szCs w:val="22"/>
          <w:lang w:val="nl-BE" w:eastAsia="nl-BE"/>
        </w:rPr>
      </w:pPr>
      <w:hyperlink w:anchor="_Toc339439411" w:history="1">
        <w:r w:rsidR="00E00D93" w:rsidRPr="00972DDE">
          <w:rPr>
            <w:rStyle w:val="Hyperlink"/>
            <w:noProof/>
          </w:rPr>
          <w:t>9.</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Contingency planning</w:t>
        </w:r>
        <w:r w:rsidR="00E00D93">
          <w:rPr>
            <w:noProof/>
            <w:webHidden/>
          </w:rPr>
          <w:tab/>
        </w:r>
        <w:r w:rsidR="004360D4">
          <w:rPr>
            <w:noProof/>
            <w:webHidden/>
          </w:rPr>
          <w:fldChar w:fldCharType="begin"/>
        </w:r>
        <w:r w:rsidR="00E00D93">
          <w:rPr>
            <w:noProof/>
            <w:webHidden/>
          </w:rPr>
          <w:instrText xml:space="preserve"> PAGEREF _Toc339439411 \h </w:instrText>
        </w:r>
        <w:r w:rsidR="004360D4">
          <w:rPr>
            <w:noProof/>
            <w:webHidden/>
          </w:rPr>
        </w:r>
        <w:r w:rsidR="004360D4">
          <w:rPr>
            <w:noProof/>
            <w:webHidden/>
          </w:rPr>
          <w:fldChar w:fldCharType="separate"/>
        </w:r>
        <w:r w:rsidR="00E00D93">
          <w:rPr>
            <w:noProof/>
            <w:webHidden/>
          </w:rPr>
          <w:t>20</w:t>
        </w:r>
        <w:r w:rsidR="004360D4">
          <w:rPr>
            <w:noProof/>
            <w:webHidden/>
          </w:rPr>
          <w:fldChar w:fldCharType="end"/>
        </w:r>
      </w:hyperlink>
    </w:p>
    <w:p w:rsidR="00E00D93" w:rsidRDefault="0029070B">
      <w:pPr>
        <w:pStyle w:val="TOC2"/>
        <w:tabs>
          <w:tab w:val="left" w:pos="720"/>
          <w:tab w:val="right" w:leader="dot" w:pos="9062"/>
        </w:tabs>
        <w:rPr>
          <w:rFonts w:asciiTheme="minorHAnsi" w:eastAsiaTheme="minorEastAsia" w:hAnsiTheme="minorHAnsi" w:cstheme="minorBidi"/>
          <w:b w:val="0"/>
          <w:bCs w:val="0"/>
          <w:noProof/>
          <w:sz w:val="22"/>
          <w:szCs w:val="22"/>
          <w:lang w:val="nl-BE" w:eastAsia="nl-BE"/>
        </w:rPr>
      </w:pPr>
      <w:hyperlink w:anchor="_Toc339439412" w:history="1">
        <w:r w:rsidR="00E00D93" w:rsidRPr="00972DDE">
          <w:rPr>
            <w:rStyle w:val="Hyperlink"/>
            <w:noProof/>
          </w:rPr>
          <w:t>10.</w:t>
        </w:r>
        <w:r w:rsidR="00E00D93">
          <w:rPr>
            <w:rFonts w:asciiTheme="minorHAnsi" w:eastAsiaTheme="minorEastAsia" w:hAnsiTheme="minorHAnsi" w:cstheme="minorBidi"/>
            <w:b w:val="0"/>
            <w:bCs w:val="0"/>
            <w:noProof/>
            <w:sz w:val="22"/>
            <w:szCs w:val="22"/>
            <w:lang w:val="nl-BE" w:eastAsia="nl-BE"/>
          </w:rPr>
          <w:tab/>
        </w:r>
        <w:r w:rsidR="00E00D93" w:rsidRPr="00972DDE">
          <w:rPr>
            <w:rStyle w:val="Hyperlink"/>
            <w:noProof/>
          </w:rPr>
          <w:t>Duration and costs of the approval process</w:t>
        </w:r>
        <w:r w:rsidR="00E00D93">
          <w:rPr>
            <w:noProof/>
            <w:webHidden/>
          </w:rPr>
          <w:tab/>
        </w:r>
        <w:r w:rsidR="004360D4">
          <w:rPr>
            <w:noProof/>
            <w:webHidden/>
          </w:rPr>
          <w:fldChar w:fldCharType="begin"/>
        </w:r>
        <w:r w:rsidR="00E00D93">
          <w:rPr>
            <w:noProof/>
            <w:webHidden/>
          </w:rPr>
          <w:instrText xml:space="preserve"> PAGEREF _Toc339439412 \h </w:instrText>
        </w:r>
        <w:r w:rsidR="004360D4">
          <w:rPr>
            <w:noProof/>
            <w:webHidden/>
          </w:rPr>
        </w:r>
        <w:r w:rsidR="004360D4">
          <w:rPr>
            <w:noProof/>
            <w:webHidden/>
          </w:rPr>
          <w:fldChar w:fldCharType="separate"/>
        </w:r>
        <w:r w:rsidR="00E00D93">
          <w:rPr>
            <w:noProof/>
            <w:webHidden/>
          </w:rPr>
          <w:t>21</w:t>
        </w:r>
        <w:r w:rsidR="004360D4">
          <w:rPr>
            <w:noProof/>
            <w:webHidden/>
          </w:rPr>
          <w:fldChar w:fldCharType="end"/>
        </w:r>
      </w:hyperlink>
    </w:p>
    <w:p w:rsidR="00E00D93" w:rsidRDefault="0029070B">
      <w:pPr>
        <w:pStyle w:val="TOC1"/>
        <w:tabs>
          <w:tab w:val="left" w:pos="480"/>
          <w:tab w:val="right" w:leader="dot" w:pos="9062"/>
        </w:tabs>
        <w:rPr>
          <w:rFonts w:asciiTheme="minorHAnsi" w:eastAsiaTheme="minorEastAsia" w:hAnsiTheme="minorHAnsi" w:cstheme="minorBidi"/>
          <w:b w:val="0"/>
          <w:bCs w:val="0"/>
          <w:caps w:val="0"/>
          <w:noProof/>
          <w:sz w:val="22"/>
          <w:szCs w:val="22"/>
          <w:lang w:val="nl-BE" w:eastAsia="nl-BE"/>
        </w:rPr>
      </w:pPr>
      <w:hyperlink w:anchor="_Toc339439413" w:history="1">
        <w:r w:rsidR="00E00D93" w:rsidRPr="00972DDE">
          <w:rPr>
            <w:rStyle w:val="Hyperlink"/>
            <w:noProof/>
          </w:rPr>
          <w:t>B.</w:t>
        </w:r>
        <w:r w:rsidR="00E00D93">
          <w:rPr>
            <w:rFonts w:asciiTheme="minorHAnsi" w:eastAsiaTheme="minorEastAsia" w:hAnsiTheme="minorHAnsi" w:cstheme="minorBidi"/>
            <w:b w:val="0"/>
            <w:bCs w:val="0"/>
            <w:caps w:val="0"/>
            <w:noProof/>
            <w:sz w:val="22"/>
            <w:szCs w:val="22"/>
            <w:lang w:val="nl-BE" w:eastAsia="nl-BE"/>
          </w:rPr>
          <w:tab/>
        </w:r>
        <w:r w:rsidR="00E00D93" w:rsidRPr="00972DDE">
          <w:rPr>
            <w:rStyle w:val="Hyperlink"/>
            <w:noProof/>
          </w:rPr>
          <w:t>Certification of the buses</w:t>
        </w:r>
        <w:r w:rsidR="00E00D93">
          <w:rPr>
            <w:noProof/>
            <w:webHidden/>
          </w:rPr>
          <w:tab/>
        </w:r>
        <w:r w:rsidR="004360D4">
          <w:rPr>
            <w:noProof/>
            <w:webHidden/>
          </w:rPr>
          <w:fldChar w:fldCharType="begin"/>
        </w:r>
        <w:r w:rsidR="00E00D93">
          <w:rPr>
            <w:noProof/>
            <w:webHidden/>
          </w:rPr>
          <w:instrText xml:space="preserve"> PAGEREF _Toc339439413 \h </w:instrText>
        </w:r>
        <w:r w:rsidR="004360D4">
          <w:rPr>
            <w:noProof/>
            <w:webHidden/>
          </w:rPr>
        </w:r>
        <w:r w:rsidR="004360D4">
          <w:rPr>
            <w:noProof/>
            <w:webHidden/>
          </w:rPr>
          <w:fldChar w:fldCharType="separate"/>
        </w:r>
        <w:r w:rsidR="00E00D93">
          <w:rPr>
            <w:noProof/>
            <w:webHidden/>
          </w:rPr>
          <w:t>22</w:t>
        </w:r>
        <w:r w:rsidR="004360D4">
          <w:rPr>
            <w:noProof/>
            <w:webHidden/>
          </w:rPr>
          <w:fldChar w:fldCharType="end"/>
        </w:r>
      </w:hyperlink>
    </w:p>
    <w:p w:rsidR="00E00D93" w:rsidRDefault="0029070B">
      <w:pPr>
        <w:pStyle w:val="TOC1"/>
        <w:tabs>
          <w:tab w:val="right" w:leader="dot" w:pos="9062"/>
        </w:tabs>
        <w:rPr>
          <w:rFonts w:asciiTheme="minorHAnsi" w:eastAsiaTheme="minorEastAsia" w:hAnsiTheme="minorHAnsi" w:cstheme="minorBidi"/>
          <w:b w:val="0"/>
          <w:bCs w:val="0"/>
          <w:caps w:val="0"/>
          <w:noProof/>
          <w:sz w:val="22"/>
          <w:szCs w:val="22"/>
          <w:lang w:val="nl-BE" w:eastAsia="nl-BE"/>
        </w:rPr>
      </w:pPr>
      <w:hyperlink w:anchor="_Toc339439414" w:history="1">
        <w:r w:rsidR="00E00D93" w:rsidRPr="00972DDE">
          <w:rPr>
            <w:rStyle w:val="Hyperlink"/>
            <w:noProof/>
          </w:rPr>
          <w:t>Conclusions:</w:t>
        </w:r>
        <w:r w:rsidR="00E00D93">
          <w:rPr>
            <w:noProof/>
            <w:webHidden/>
          </w:rPr>
          <w:tab/>
        </w:r>
        <w:r w:rsidR="004360D4">
          <w:rPr>
            <w:noProof/>
            <w:webHidden/>
          </w:rPr>
          <w:fldChar w:fldCharType="begin"/>
        </w:r>
        <w:r w:rsidR="00E00D93">
          <w:rPr>
            <w:noProof/>
            <w:webHidden/>
          </w:rPr>
          <w:instrText xml:space="preserve"> PAGEREF _Toc339439414 \h </w:instrText>
        </w:r>
        <w:r w:rsidR="004360D4">
          <w:rPr>
            <w:noProof/>
            <w:webHidden/>
          </w:rPr>
        </w:r>
        <w:r w:rsidR="004360D4">
          <w:rPr>
            <w:noProof/>
            <w:webHidden/>
          </w:rPr>
          <w:fldChar w:fldCharType="separate"/>
        </w:r>
        <w:r w:rsidR="00E00D93">
          <w:rPr>
            <w:noProof/>
            <w:webHidden/>
          </w:rPr>
          <w:t>23</w:t>
        </w:r>
        <w:r w:rsidR="004360D4">
          <w:rPr>
            <w:noProof/>
            <w:webHidden/>
          </w:rPr>
          <w:fldChar w:fldCharType="end"/>
        </w:r>
      </w:hyperlink>
    </w:p>
    <w:p w:rsidR="00365F48" w:rsidRDefault="004360D4" w:rsidP="00256F72">
      <w:pPr>
        <w:pStyle w:val="Text"/>
        <w:jc w:val="both"/>
        <w:rPr>
          <w:b/>
          <w:lang w:val="en-US"/>
        </w:rPr>
      </w:pPr>
      <w:r w:rsidRPr="00AA0F5C">
        <w:rPr>
          <w:lang w:val="en-US"/>
        </w:rPr>
        <w:fldChar w:fldCharType="end"/>
      </w:r>
      <w:r w:rsidR="00365F48" w:rsidRPr="00AA0F5C">
        <w:rPr>
          <w:b/>
          <w:lang w:val="en-US"/>
        </w:rPr>
        <w:t xml:space="preserve"> </w:t>
      </w:r>
    </w:p>
    <w:p w:rsidR="00365F48" w:rsidRPr="00AA0F5C" w:rsidRDefault="00365F48" w:rsidP="00256F72">
      <w:pPr>
        <w:pStyle w:val="Text"/>
        <w:jc w:val="both"/>
        <w:rPr>
          <w:b/>
          <w:lang w:val="en-US"/>
        </w:rPr>
      </w:pPr>
    </w:p>
    <w:p w:rsidR="00365F48" w:rsidRDefault="00365F48" w:rsidP="00256F72">
      <w:pPr>
        <w:pStyle w:val="Text"/>
        <w:jc w:val="both"/>
        <w:rPr>
          <w:b/>
          <w:bCs/>
        </w:rPr>
      </w:pPr>
      <w:r w:rsidRPr="00384EF8">
        <w:br w:type="page"/>
      </w:r>
      <w:bookmarkStart w:id="35" w:name="_Toc165715838"/>
      <w:bookmarkStart w:id="36" w:name="_Toc166401047"/>
      <w:r w:rsidRPr="00384EF8">
        <w:rPr>
          <w:b/>
          <w:bCs/>
        </w:rPr>
        <w:lastRenderedPageBreak/>
        <w:t>List of abbreviations</w:t>
      </w:r>
      <w:bookmarkEnd w:id="35"/>
      <w:bookmarkEnd w:id="36"/>
    </w:p>
    <w:p w:rsidR="00365F48" w:rsidRPr="005D1594" w:rsidRDefault="00365F48" w:rsidP="005D1594">
      <w:pPr>
        <w:pStyle w:val="Text"/>
        <w:jc w:val="both"/>
        <w:rPr>
          <w:bCs/>
        </w:rPr>
      </w:pPr>
      <w:r w:rsidRPr="005D1594">
        <w:rPr>
          <w:bCs/>
        </w:rPr>
        <w:t>ATEX</w:t>
      </w:r>
      <w:r w:rsidRPr="005D1594">
        <w:rPr>
          <w:bCs/>
        </w:rPr>
        <w:tab/>
      </w:r>
      <w:r w:rsidRPr="005D1594">
        <w:rPr>
          <w:bCs/>
        </w:rPr>
        <w:tab/>
      </w:r>
      <w:r w:rsidRPr="005D1594">
        <w:rPr>
          <w:bCs/>
        </w:rPr>
        <w:tab/>
        <w:t xml:space="preserve">Potentially Explosive Atmospheres (“ATmosphères EXplosibles”) </w:t>
      </w:r>
    </w:p>
    <w:p w:rsidR="00365F48" w:rsidRDefault="00365F48" w:rsidP="00256F72">
      <w:pPr>
        <w:pStyle w:val="Text"/>
        <w:jc w:val="both"/>
      </w:pPr>
      <w:r>
        <w:t xml:space="preserve">FCH </w:t>
      </w:r>
      <w:r>
        <w:tab/>
      </w:r>
      <w:r>
        <w:tab/>
      </w:r>
      <w:r>
        <w:tab/>
        <w:t>Fuel Cell Hydrogen</w:t>
      </w:r>
    </w:p>
    <w:p w:rsidR="00365F48" w:rsidRDefault="00365F48" w:rsidP="00256F72">
      <w:pPr>
        <w:pStyle w:val="Text"/>
        <w:jc w:val="both"/>
      </w:pPr>
      <w:r>
        <w:t>HRS</w:t>
      </w:r>
      <w:r>
        <w:tab/>
      </w:r>
      <w:r>
        <w:tab/>
      </w:r>
      <w:r>
        <w:tab/>
        <w:t>Hydrogen Refuelling Station</w:t>
      </w:r>
    </w:p>
    <w:p w:rsidR="00365F48" w:rsidRDefault="00365F48" w:rsidP="00256F72">
      <w:pPr>
        <w:pStyle w:val="Text"/>
        <w:jc w:val="both"/>
      </w:pPr>
      <w:r>
        <w:t>H2</w:t>
      </w:r>
      <w:r>
        <w:tab/>
      </w:r>
      <w:r>
        <w:tab/>
      </w:r>
      <w:r>
        <w:tab/>
        <w:t>Hydrogen</w:t>
      </w:r>
    </w:p>
    <w:p w:rsidR="00365F48" w:rsidRPr="004E5729" w:rsidRDefault="00365F48" w:rsidP="00256F72">
      <w:pPr>
        <w:pStyle w:val="Text"/>
        <w:jc w:val="both"/>
      </w:pPr>
      <w:r>
        <w:t>ISO</w:t>
      </w:r>
      <w:r>
        <w:tab/>
      </w:r>
      <w:r>
        <w:tab/>
      </w:r>
      <w:r>
        <w:tab/>
      </w:r>
      <w:r w:rsidRPr="004E5729">
        <w:t>International Organization for Standardisation</w:t>
      </w:r>
    </w:p>
    <w:p w:rsidR="00365F48" w:rsidRPr="00D5521E"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256F72">
      <w:pPr>
        <w:pStyle w:val="Text"/>
        <w:jc w:val="both"/>
      </w:pPr>
    </w:p>
    <w:p w:rsidR="00365F48" w:rsidRDefault="00365F48" w:rsidP="0016795A">
      <w:pPr>
        <w:pStyle w:val="Heading1"/>
        <w:numPr>
          <w:ilvl w:val="0"/>
          <w:numId w:val="4"/>
        </w:numPr>
      </w:pPr>
      <w:bookmarkStart w:id="37" w:name="_Toc277333828"/>
      <w:bookmarkStart w:id="38" w:name="_Toc339439399"/>
      <w:r w:rsidRPr="00384EF8">
        <w:lastRenderedPageBreak/>
        <w:t>Executive Summary</w:t>
      </w:r>
      <w:bookmarkEnd w:id="37"/>
      <w:bookmarkEnd w:id="38"/>
      <w:r w:rsidRPr="00F05089">
        <w:br/>
      </w:r>
    </w:p>
    <w:p w:rsidR="00365F48" w:rsidRDefault="00365F48" w:rsidP="009259AA">
      <w:pPr>
        <w:spacing w:before="60" w:after="60"/>
        <w:ind w:right="-1"/>
        <w:jc w:val="both"/>
      </w:pPr>
    </w:p>
    <w:p w:rsidR="00365F48" w:rsidRPr="00213F46" w:rsidRDefault="00365F48" w:rsidP="0094158C">
      <w:pPr>
        <w:pStyle w:val="Text"/>
        <w:jc w:val="both"/>
      </w:pPr>
      <w:r w:rsidRPr="00213F46">
        <w:t>The aim of this report is to collect the experiences from cities involved in the Clean Hydrogen In European Cities (CHIC) project on the authorisation procedures for hydrogen infrastructures and buses.</w:t>
      </w:r>
    </w:p>
    <w:p w:rsidR="00365F48" w:rsidRPr="00213F46" w:rsidRDefault="00365F48" w:rsidP="003F3ACF">
      <w:pPr>
        <w:pStyle w:val="Text"/>
        <w:jc w:val="both"/>
      </w:pPr>
      <w:r w:rsidRPr="00213F46">
        <w:t>This report takes stock of the regulations described in previous EU projects, such as CUTE, HyFLEET:CUTE and HyApproval funded under the Sixth Framework Programme (FP6) and other information sources available to date</w:t>
      </w:r>
      <w:r w:rsidRPr="00213F46">
        <w:rPr>
          <w:rStyle w:val="FootnoteReference"/>
          <w:rFonts w:cs="Arial"/>
        </w:rPr>
        <w:footnoteReference w:id="1"/>
      </w:r>
      <w:r w:rsidRPr="00213F46">
        <w:t xml:space="preserve"> and examines the current regulations applied at local level.</w:t>
      </w:r>
      <w:r w:rsidRPr="003F3ACF">
        <w:t xml:space="preserve"> </w:t>
      </w:r>
      <w:r w:rsidRPr="00213F46">
        <w:t>Europe has already a draft regulation for compressed hydrogen refuelling stations developed in the frame of the EIHP project.</w:t>
      </w:r>
      <w:r w:rsidRPr="00213F46">
        <w:rPr>
          <w:rStyle w:val="FootnoteReference"/>
          <w:rFonts w:cs="Arial"/>
        </w:rPr>
        <w:footnoteReference w:id="2"/>
      </w:r>
    </w:p>
    <w:p w:rsidR="00365F48" w:rsidRPr="00213F46" w:rsidRDefault="00365F48" w:rsidP="0094158C">
      <w:pPr>
        <w:pStyle w:val="Text"/>
        <w:jc w:val="both"/>
      </w:pPr>
      <w:r w:rsidRPr="00213F46">
        <w:t>Based on these data collection, this report will serve as a basis for further input from industrial and officials to eventually contribute to the standardisation regulation in this technology.</w:t>
      </w:r>
    </w:p>
    <w:p w:rsidR="00365F48" w:rsidRPr="00213F46" w:rsidRDefault="00365F48" w:rsidP="0094158C">
      <w:pPr>
        <w:pStyle w:val="Text"/>
        <w:jc w:val="both"/>
      </w:pPr>
      <w:r w:rsidRPr="00213F46">
        <w:t>With this first collection of experiences, the project will provide local authorities, companies and other stakeholders, including potentially interested Phase 2 Cities, with a reference document on the implementation and operation of hydrogen refuelling stations (HRS) as well as the operation of hydrogen fuel cell buses.</w:t>
      </w:r>
    </w:p>
    <w:p w:rsidR="00365F48" w:rsidRDefault="00365F48">
      <w:pPr>
        <w:rPr>
          <w:b/>
          <w:sz w:val="28"/>
          <w:szCs w:val="28"/>
        </w:rPr>
      </w:pPr>
      <w:r>
        <w:rPr>
          <w:b/>
          <w:sz w:val="28"/>
          <w:szCs w:val="28"/>
        </w:rPr>
        <w:br w:type="page"/>
      </w:r>
    </w:p>
    <w:p w:rsidR="00365F48" w:rsidRDefault="00365F48" w:rsidP="009931DC">
      <w:pPr>
        <w:pStyle w:val="Heading2"/>
      </w:pPr>
      <w:bookmarkStart w:id="39" w:name="_Toc339439400"/>
      <w:r w:rsidRPr="00E74724">
        <w:lastRenderedPageBreak/>
        <w:t>The approach</w:t>
      </w:r>
      <w:bookmarkEnd w:id="39"/>
    </w:p>
    <w:p w:rsidR="00365F48" w:rsidRPr="009931DC" w:rsidRDefault="00365F48" w:rsidP="009931DC">
      <w:pPr>
        <w:pStyle w:val="Text"/>
      </w:pPr>
    </w:p>
    <w:p w:rsidR="00365F48" w:rsidRPr="00213F46" w:rsidRDefault="00365F48" w:rsidP="00CD5231">
      <w:pPr>
        <w:pStyle w:val="Text"/>
        <w:jc w:val="both"/>
      </w:pPr>
      <w:r w:rsidRPr="00213F46">
        <w:t xml:space="preserve">Project partners from Phase </w:t>
      </w:r>
      <w:r w:rsidR="00B202FF">
        <w:t>0</w:t>
      </w:r>
      <w:r w:rsidR="00B202FF" w:rsidRPr="00213F46">
        <w:t xml:space="preserve"> </w:t>
      </w:r>
      <w:r w:rsidR="00B41EA0">
        <w:t>Cities</w:t>
      </w:r>
      <w:r w:rsidRPr="00213F46">
        <w:t xml:space="preserve"> and Phase </w:t>
      </w:r>
      <w:r w:rsidR="00B41EA0">
        <w:t>1</w:t>
      </w:r>
      <w:r w:rsidRPr="00213F46">
        <w:t xml:space="preserve"> Cities (have been asked to indicate through a questionnaire the legislation and technical requirements that they fulfilled during the certification procedure of the Hydrogen Refuelling Stations (HRS). The scope of the survey is to assess the authorities involved in the permitting procedure, the diverse technical measures taken into account as well as the safety requirements which all vary significantly from country to country. </w:t>
      </w:r>
    </w:p>
    <w:p w:rsidR="00365F48" w:rsidRPr="00213F46" w:rsidRDefault="00365F48" w:rsidP="00CD5231">
      <w:pPr>
        <w:pStyle w:val="Text"/>
        <w:jc w:val="both"/>
      </w:pPr>
      <w:r w:rsidRPr="00213F46">
        <w:t>The second part of the questionnaire assessed the legislative procedures of acquiring and getting buses into operation.</w:t>
      </w:r>
    </w:p>
    <w:p w:rsidR="00365F48" w:rsidRPr="00213F46" w:rsidRDefault="00365F48" w:rsidP="00CD5231">
      <w:pPr>
        <w:pStyle w:val="Text"/>
        <w:jc w:val="both"/>
      </w:pPr>
      <w:r w:rsidRPr="00213F46">
        <w:t>In Phase O Cities (Hambur</w:t>
      </w:r>
      <w:r>
        <w:t xml:space="preserve">g, Cologne, Berlin </w:t>
      </w:r>
      <w:r w:rsidRPr="00213F46">
        <w:t>and Whistler) partners had a longer experience in the installation and operation of the refuelling stations and buses.</w:t>
      </w:r>
    </w:p>
    <w:p w:rsidR="00365F48" w:rsidRPr="00213F46" w:rsidRDefault="00365F48" w:rsidP="00CD5231">
      <w:pPr>
        <w:pStyle w:val="Text"/>
        <w:jc w:val="both"/>
      </w:pPr>
      <w:r w:rsidRPr="00213F46">
        <w:t xml:space="preserve">The overall scope of the exercise is not only to examine the updates since the last codes and procedures on the topic but also to explore </w:t>
      </w:r>
      <w:r>
        <w:t>whether</w:t>
      </w:r>
      <w:r w:rsidRPr="00213F46">
        <w:rPr>
          <w:lang w:val="en-US"/>
        </w:rPr>
        <w:t xml:space="preserve"> authorities are now more </w:t>
      </w:r>
      <w:r w:rsidR="00B202FF">
        <w:rPr>
          <w:lang w:val="en-US"/>
        </w:rPr>
        <w:t>familiar</w:t>
      </w:r>
      <w:r w:rsidRPr="00213F46">
        <w:rPr>
          <w:lang w:val="en-US"/>
        </w:rPr>
        <w:t xml:space="preserve"> than </w:t>
      </w:r>
      <w:r>
        <w:rPr>
          <w:lang w:val="en-US"/>
        </w:rPr>
        <w:t>in 2008 on the technology.</w:t>
      </w:r>
    </w:p>
    <w:p w:rsidR="00365F48" w:rsidRPr="00213F46" w:rsidRDefault="00365F48" w:rsidP="00CD5231">
      <w:pPr>
        <w:pStyle w:val="Text"/>
        <w:jc w:val="both"/>
        <w:rPr>
          <w:lang w:val="en-US"/>
        </w:rPr>
      </w:pPr>
      <w:r>
        <w:rPr>
          <w:lang w:val="en-US"/>
        </w:rPr>
        <w:t xml:space="preserve">The HyApproval </w:t>
      </w:r>
      <w:r w:rsidRPr="009B2A8D">
        <w:rPr>
          <w:bCs/>
        </w:rPr>
        <w:t>Handbook for Approval of Hydrogen Refuelling Stations</w:t>
      </w:r>
      <w:r>
        <w:rPr>
          <w:lang w:val="en-US"/>
        </w:rPr>
        <w:t xml:space="preserve"> report, that covered 5 EU Member States (NL, FR, DE, IT, ES) and China, indicated that authorisation procedures could be time-</w:t>
      </w:r>
      <w:r w:rsidRPr="00213F46">
        <w:rPr>
          <w:lang w:val="en-US"/>
        </w:rPr>
        <w:t xml:space="preserve">consuming and </w:t>
      </w:r>
      <w:r>
        <w:rPr>
          <w:lang w:val="en-US"/>
        </w:rPr>
        <w:t xml:space="preserve">sometimes </w:t>
      </w:r>
      <w:r w:rsidRPr="00213F46">
        <w:rPr>
          <w:lang w:val="en-US"/>
        </w:rPr>
        <w:t>required</w:t>
      </w:r>
      <w:r>
        <w:rPr>
          <w:lang w:val="en-US"/>
        </w:rPr>
        <w:t xml:space="preserve"> lengthy verification </w:t>
      </w:r>
      <w:r w:rsidRPr="00213F46">
        <w:rPr>
          <w:lang w:val="en-US"/>
        </w:rPr>
        <w:t>of the laws to apply and procedures to follow.</w:t>
      </w:r>
      <w:r>
        <w:rPr>
          <w:lang w:val="en-US"/>
        </w:rPr>
        <w:t xml:space="preserve"> </w:t>
      </w:r>
    </w:p>
    <w:p w:rsidR="00365F48" w:rsidRDefault="00365F48" w:rsidP="00CD5231">
      <w:pPr>
        <w:pStyle w:val="Text"/>
        <w:jc w:val="both"/>
        <w:rPr>
          <w:lang w:val="en-US"/>
        </w:rPr>
      </w:pPr>
      <w:r>
        <w:rPr>
          <w:lang w:val="en-US"/>
        </w:rPr>
        <w:t>This</w:t>
      </w:r>
      <w:r w:rsidRPr="00213F46">
        <w:rPr>
          <w:lang w:val="en-US"/>
        </w:rPr>
        <w:t xml:space="preserve"> report will explore if ISO drafts (i.e. 20100 “Gaseous hydrogen – Fuelling stations”) were already referred </w:t>
      </w:r>
      <w:r>
        <w:rPr>
          <w:lang w:val="en-US"/>
        </w:rPr>
        <w:t xml:space="preserve">to </w:t>
      </w:r>
      <w:r w:rsidRPr="00213F46">
        <w:rPr>
          <w:lang w:val="en-US"/>
        </w:rPr>
        <w:t>in the approval processes</w:t>
      </w:r>
      <w:r>
        <w:rPr>
          <w:lang w:val="en-US"/>
        </w:rPr>
        <w:t xml:space="preserve"> and </w:t>
      </w:r>
      <w:r w:rsidRPr="00213F46">
        <w:rPr>
          <w:lang w:val="en-US"/>
        </w:rPr>
        <w:t xml:space="preserve"> if the time to obtain the licenses </w:t>
      </w:r>
      <w:r>
        <w:rPr>
          <w:lang w:val="en-US"/>
        </w:rPr>
        <w:t xml:space="preserve">were in line </w:t>
      </w:r>
      <w:r w:rsidRPr="00213F46">
        <w:rPr>
          <w:lang w:val="en-US"/>
        </w:rPr>
        <w:t xml:space="preserve">with the </w:t>
      </w:r>
      <w:r>
        <w:rPr>
          <w:lang w:val="en-US"/>
        </w:rPr>
        <w:t xml:space="preserve">authorisation procedures of </w:t>
      </w:r>
      <w:r w:rsidRPr="00213F46">
        <w:rPr>
          <w:lang w:val="en-US"/>
        </w:rPr>
        <w:t>com</w:t>
      </w:r>
      <w:r>
        <w:rPr>
          <w:lang w:val="en-US"/>
        </w:rPr>
        <w:t>parable activities (industrial H2</w:t>
      </w:r>
      <w:r w:rsidRPr="00213F46">
        <w:rPr>
          <w:lang w:val="en-US"/>
        </w:rPr>
        <w:t>).</w:t>
      </w:r>
    </w:p>
    <w:p w:rsidR="00365F48" w:rsidRDefault="00365F48">
      <w:pPr>
        <w:rPr>
          <w:lang w:val="en-US"/>
        </w:rPr>
      </w:pPr>
      <w:r>
        <w:rPr>
          <w:lang w:val="en-US"/>
        </w:rPr>
        <w:br w:type="page"/>
      </w:r>
    </w:p>
    <w:p w:rsidR="00365F48" w:rsidRDefault="00365F48" w:rsidP="009931DC">
      <w:pPr>
        <w:pStyle w:val="Heading2"/>
        <w:rPr>
          <w:lang w:val="en-US"/>
        </w:rPr>
      </w:pPr>
      <w:bookmarkStart w:id="40" w:name="_Toc339439401"/>
      <w:r w:rsidRPr="00623EB1">
        <w:rPr>
          <w:lang w:val="en-US"/>
        </w:rPr>
        <w:lastRenderedPageBreak/>
        <w:t>Structure</w:t>
      </w:r>
      <w:bookmarkEnd w:id="40"/>
    </w:p>
    <w:p w:rsidR="00365F48" w:rsidRPr="004F0E1F" w:rsidRDefault="00365F48" w:rsidP="004F0E1F">
      <w:pPr>
        <w:pStyle w:val="Text"/>
        <w:rPr>
          <w:lang w:val="en-US"/>
        </w:rPr>
      </w:pPr>
    </w:p>
    <w:p w:rsidR="00365F48" w:rsidRDefault="00365F48" w:rsidP="00CD5231">
      <w:pPr>
        <w:pStyle w:val="Text"/>
        <w:jc w:val="both"/>
        <w:rPr>
          <w:lang w:val="en-US"/>
        </w:rPr>
      </w:pPr>
      <w:r w:rsidRPr="00213F46">
        <w:rPr>
          <w:lang w:val="en-US"/>
        </w:rPr>
        <w:t xml:space="preserve">On </w:t>
      </w:r>
      <w:r>
        <w:rPr>
          <w:lang w:val="en-US"/>
        </w:rPr>
        <w:t xml:space="preserve">the </w:t>
      </w:r>
      <w:r w:rsidRPr="00213F46">
        <w:rPr>
          <w:lang w:val="en-US"/>
        </w:rPr>
        <w:t>one hand, the report takes a look at the refueling infrastructure and, in particular, the stakeholders involved in the issuing procedure, the laws and regulations applied, the permits acquired, the safety and technical standards, the methodologies for risks, the inspection protocol and the contingency planning, as well as the cost and the duration of the process.</w:t>
      </w:r>
    </w:p>
    <w:p w:rsidR="00365F48" w:rsidRPr="00213F46" w:rsidRDefault="00365F48" w:rsidP="00CD5231">
      <w:pPr>
        <w:pStyle w:val="Text"/>
        <w:jc w:val="both"/>
        <w:rPr>
          <w:lang w:val="en-US"/>
        </w:rPr>
      </w:pPr>
      <w:r>
        <w:rPr>
          <w:lang w:val="en-US"/>
        </w:rPr>
        <w:t xml:space="preserve">On the other hand, the document examines if the EU regulation for the homologation of the buses was applied in all cities. </w:t>
      </w:r>
    </w:p>
    <w:p w:rsidR="00365F48" w:rsidRPr="00213F46" w:rsidRDefault="00365F48" w:rsidP="00623EB1">
      <w:pPr>
        <w:pStyle w:val="Text"/>
        <w:jc w:val="both"/>
        <w:rPr>
          <w:lang w:val="en-US"/>
        </w:rPr>
      </w:pPr>
      <w:r w:rsidRPr="00213F46">
        <w:rPr>
          <w:lang w:val="en-US"/>
        </w:rPr>
        <w:t>Respondents to this quest</w:t>
      </w:r>
      <w:r>
        <w:rPr>
          <w:lang w:val="en-US"/>
        </w:rPr>
        <w:t>ionnaire include the following c</w:t>
      </w:r>
      <w:r w:rsidRPr="00213F46">
        <w:rPr>
          <w:lang w:val="en-US"/>
        </w:rPr>
        <w:t>ities:</w:t>
      </w:r>
    </w:p>
    <w:p w:rsidR="00365F48" w:rsidRPr="00213F46" w:rsidRDefault="00365F48" w:rsidP="00213F46">
      <w:pPr>
        <w:pStyle w:val="Text"/>
        <w:numPr>
          <w:ilvl w:val="0"/>
          <w:numId w:val="23"/>
        </w:numPr>
        <w:jc w:val="both"/>
        <w:rPr>
          <w:lang w:val="it-IT"/>
        </w:rPr>
      </w:pPr>
      <w:r w:rsidRPr="00213F46">
        <w:rPr>
          <w:lang w:val="it-IT"/>
        </w:rPr>
        <w:t>Hamburg</w:t>
      </w:r>
      <w:r w:rsidR="00B202FF">
        <w:rPr>
          <w:lang w:val="it-IT"/>
        </w:rPr>
        <w:t>, (DE);</w:t>
      </w:r>
    </w:p>
    <w:p w:rsidR="00365F48" w:rsidRPr="00213F46" w:rsidRDefault="00365F48" w:rsidP="00213F46">
      <w:pPr>
        <w:pStyle w:val="Text"/>
        <w:numPr>
          <w:ilvl w:val="0"/>
          <w:numId w:val="23"/>
        </w:numPr>
        <w:jc w:val="both"/>
        <w:rPr>
          <w:lang w:val="it-IT"/>
        </w:rPr>
      </w:pPr>
      <w:r w:rsidRPr="00213F46">
        <w:rPr>
          <w:lang w:val="it-IT"/>
        </w:rPr>
        <w:t>Cologne</w:t>
      </w:r>
      <w:r w:rsidR="00B202FF">
        <w:rPr>
          <w:lang w:val="it-IT"/>
        </w:rPr>
        <w:t>,(DE);</w:t>
      </w:r>
    </w:p>
    <w:p w:rsidR="00365F48" w:rsidRPr="00213F46" w:rsidRDefault="00365F48" w:rsidP="00213F46">
      <w:pPr>
        <w:pStyle w:val="Text"/>
        <w:numPr>
          <w:ilvl w:val="0"/>
          <w:numId w:val="23"/>
        </w:numPr>
        <w:jc w:val="both"/>
        <w:rPr>
          <w:lang w:val="it-IT"/>
        </w:rPr>
      </w:pPr>
      <w:r w:rsidRPr="00213F46">
        <w:rPr>
          <w:lang w:val="it-IT"/>
        </w:rPr>
        <w:t>Whistler</w:t>
      </w:r>
      <w:r w:rsidR="00B202FF">
        <w:rPr>
          <w:lang w:val="it-IT"/>
        </w:rPr>
        <w:t>,(CA);</w:t>
      </w:r>
    </w:p>
    <w:p w:rsidR="00365F48" w:rsidRPr="00213F46" w:rsidRDefault="00365F48" w:rsidP="00213F46">
      <w:pPr>
        <w:pStyle w:val="Text"/>
        <w:numPr>
          <w:ilvl w:val="0"/>
          <w:numId w:val="23"/>
        </w:numPr>
        <w:jc w:val="both"/>
        <w:rPr>
          <w:lang w:val="it-IT"/>
        </w:rPr>
      </w:pPr>
      <w:r w:rsidRPr="00213F46">
        <w:rPr>
          <w:lang w:val="it-IT"/>
        </w:rPr>
        <w:t>Oslo</w:t>
      </w:r>
      <w:r w:rsidR="00B202FF">
        <w:rPr>
          <w:lang w:val="it-IT"/>
        </w:rPr>
        <w:t>, (NO);</w:t>
      </w:r>
    </w:p>
    <w:p w:rsidR="00365F48" w:rsidRDefault="00365F48" w:rsidP="00213F46">
      <w:pPr>
        <w:pStyle w:val="Text"/>
        <w:numPr>
          <w:ilvl w:val="0"/>
          <w:numId w:val="23"/>
        </w:numPr>
        <w:jc w:val="both"/>
        <w:rPr>
          <w:lang w:val="it-IT"/>
        </w:rPr>
      </w:pPr>
      <w:r w:rsidRPr="00213F46">
        <w:rPr>
          <w:lang w:val="it-IT"/>
        </w:rPr>
        <w:t>Aarau</w:t>
      </w:r>
      <w:r w:rsidR="00B202FF">
        <w:rPr>
          <w:lang w:val="it-IT"/>
        </w:rPr>
        <w:t>, (CH);</w:t>
      </w:r>
    </w:p>
    <w:p w:rsidR="00B202FF" w:rsidRPr="00213F46" w:rsidRDefault="00B202FF" w:rsidP="00213F46">
      <w:pPr>
        <w:pStyle w:val="Text"/>
        <w:numPr>
          <w:ilvl w:val="0"/>
          <w:numId w:val="23"/>
        </w:numPr>
        <w:jc w:val="both"/>
        <w:rPr>
          <w:lang w:val="it-IT"/>
        </w:rPr>
      </w:pPr>
      <w:r>
        <w:rPr>
          <w:lang w:val="it-IT"/>
        </w:rPr>
        <w:t>London,(UK);</w:t>
      </w:r>
    </w:p>
    <w:p w:rsidR="00365F48" w:rsidRPr="00213F46" w:rsidRDefault="00365F48" w:rsidP="00213F46">
      <w:pPr>
        <w:pStyle w:val="Text"/>
        <w:numPr>
          <w:ilvl w:val="0"/>
          <w:numId w:val="23"/>
        </w:numPr>
        <w:jc w:val="both"/>
        <w:rPr>
          <w:lang w:val="it-IT"/>
        </w:rPr>
      </w:pPr>
      <w:r w:rsidRPr="00213F46">
        <w:rPr>
          <w:lang w:val="it-IT"/>
        </w:rPr>
        <w:t>Milan</w:t>
      </w:r>
      <w:r w:rsidR="00B202FF">
        <w:rPr>
          <w:lang w:val="it-IT"/>
        </w:rPr>
        <w:t>, (IT);</w:t>
      </w:r>
    </w:p>
    <w:p w:rsidR="00365F48" w:rsidRPr="00B202FF" w:rsidRDefault="00365F48" w:rsidP="00213F46">
      <w:pPr>
        <w:pStyle w:val="Text"/>
        <w:numPr>
          <w:ilvl w:val="0"/>
          <w:numId w:val="23"/>
        </w:numPr>
        <w:jc w:val="both"/>
        <w:rPr>
          <w:lang w:val="en-US"/>
        </w:rPr>
      </w:pPr>
      <w:r w:rsidRPr="00B202FF">
        <w:rPr>
          <w:lang w:val="en-US"/>
        </w:rPr>
        <w:t>Bolzano</w:t>
      </w:r>
      <w:r w:rsidR="00B202FF" w:rsidRPr="00B202FF">
        <w:rPr>
          <w:lang w:val="en-US"/>
        </w:rPr>
        <w:t>, (IT)</w:t>
      </w:r>
      <w:r w:rsidR="00B202FF">
        <w:rPr>
          <w:lang w:val="en-US"/>
        </w:rPr>
        <w:t>.</w:t>
      </w:r>
    </w:p>
    <w:p w:rsidR="00365F48" w:rsidRPr="00B202FF" w:rsidRDefault="00365F48" w:rsidP="00623EB1">
      <w:pPr>
        <w:pStyle w:val="Text"/>
        <w:jc w:val="both"/>
        <w:rPr>
          <w:sz w:val="28"/>
          <w:szCs w:val="28"/>
          <w:lang w:val="en-US"/>
        </w:rPr>
      </w:pPr>
    </w:p>
    <w:p w:rsidR="00365F48" w:rsidRDefault="00365F48">
      <w:pPr>
        <w:rPr>
          <w:sz w:val="28"/>
          <w:szCs w:val="28"/>
          <w:highlight w:val="lightGray"/>
          <w:lang w:val="en-US"/>
        </w:rPr>
      </w:pPr>
      <w:r>
        <w:rPr>
          <w:sz w:val="28"/>
          <w:szCs w:val="28"/>
          <w:highlight w:val="lightGray"/>
          <w:lang w:val="en-US"/>
        </w:rPr>
        <w:br w:type="page"/>
      </w:r>
    </w:p>
    <w:p w:rsidR="00365F48" w:rsidRDefault="00365F48" w:rsidP="009931DC">
      <w:pPr>
        <w:pStyle w:val="Heading1"/>
        <w:numPr>
          <w:ilvl w:val="0"/>
          <w:numId w:val="25"/>
        </w:numPr>
        <w:rPr>
          <w:lang w:val="en-US"/>
        </w:rPr>
      </w:pPr>
      <w:bookmarkStart w:id="41" w:name="_Toc339439402"/>
      <w:r>
        <w:rPr>
          <w:lang w:val="en-US"/>
        </w:rPr>
        <w:lastRenderedPageBreak/>
        <w:t>Hydrogen refuelling stations</w:t>
      </w:r>
      <w:bookmarkEnd w:id="41"/>
    </w:p>
    <w:p w:rsidR="00365F48" w:rsidRDefault="00365F48" w:rsidP="00783D7B">
      <w:pPr>
        <w:pStyle w:val="Text"/>
        <w:ind w:left="720"/>
        <w:jc w:val="both"/>
        <w:rPr>
          <w:sz w:val="28"/>
          <w:szCs w:val="28"/>
          <w:lang w:val="en-US"/>
        </w:rPr>
      </w:pPr>
    </w:p>
    <w:p w:rsidR="00365F48" w:rsidRDefault="00365F48" w:rsidP="009931DC">
      <w:pPr>
        <w:pStyle w:val="Heading2"/>
        <w:numPr>
          <w:ilvl w:val="0"/>
          <w:numId w:val="4"/>
        </w:numPr>
        <w:rPr>
          <w:lang w:val="en-US"/>
        </w:rPr>
      </w:pPr>
      <w:bookmarkStart w:id="42" w:name="_Toc339439403"/>
      <w:r>
        <w:rPr>
          <w:lang w:val="en-US"/>
        </w:rPr>
        <w:t>Stakeholders involved in the permitting process</w:t>
      </w:r>
      <w:bookmarkEnd w:id="42"/>
    </w:p>
    <w:p w:rsidR="00365F48" w:rsidRPr="009931DC" w:rsidRDefault="00365F48" w:rsidP="009931DC">
      <w:pPr>
        <w:pStyle w:val="Text"/>
        <w:rPr>
          <w:lang w:val="en-US"/>
        </w:rPr>
      </w:pPr>
    </w:p>
    <w:p w:rsidR="00365F48" w:rsidRPr="007E539E" w:rsidRDefault="00365F48" w:rsidP="0074713F">
      <w:pPr>
        <w:pStyle w:val="Text"/>
        <w:jc w:val="both"/>
        <w:rPr>
          <w:lang w:val="en-US"/>
        </w:rPr>
      </w:pPr>
      <w:r w:rsidRPr="00213F46">
        <w:rPr>
          <w:lang w:val="en-US"/>
        </w:rPr>
        <w:t>In Germany, project partners report that the authorities responsible for issuing permits vary significantly from d</w:t>
      </w:r>
      <w:r w:rsidR="00000DF7">
        <w:rPr>
          <w:lang w:val="en-US"/>
        </w:rPr>
        <w:t xml:space="preserve">istrict to district. In Hamburg </w:t>
      </w:r>
      <w:r w:rsidR="00000DF7" w:rsidRPr="007E539E">
        <w:rPr>
          <w:lang w:val="en-US"/>
        </w:rPr>
        <w:t>and Cologne the regional authorities are issuing the permits</w:t>
      </w:r>
      <w:r w:rsidRPr="007E539E">
        <w:rPr>
          <w:lang w:val="en-US"/>
        </w:rPr>
        <w:t>. Inspection controls are performed by private agencies.</w:t>
      </w:r>
    </w:p>
    <w:p w:rsidR="00365F48" w:rsidRPr="007E539E" w:rsidRDefault="00365F48" w:rsidP="006A3B6B">
      <w:pPr>
        <w:pStyle w:val="Text"/>
        <w:jc w:val="both"/>
        <w:rPr>
          <w:lang w:val="en-US"/>
        </w:rPr>
      </w:pPr>
      <w:r w:rsidRPr="007E539E">
        <w:rPr>
          <w:lang w:val="en-US"/>
        </w:rPr>
        <w:t>In Whistler, Canadian hydrogen installations must be constructed in conformance with appropriate municipal, territorial or provincial regulations, or in the absence of such regulations, in conformance with the requirements of the national model safety codes</w:t>
      </w:r>
      <w:r w:rsidRPr="007E539E">
        <w:rPr>
          <w:rStyle w:val="FootnoteReference"/>
          <w:rFonts w:cs="Arial"/>
          <w:lang w:val="en-US"/>
        </w:rPr>
        <w:footnoteReference w:id="3"/>
      </w:r>
      <w:r w:rsidRPr="007E539E">
        <w:rPr>
          <w:lang w:val="en-US"/>
        </w:rPr>
        <w:t>. Municipal local fire departments as well as local governments (for safety) are involved in the approval process in Canada.</w:t>
      </w:r>
    </w:p>
    <w:p w:rsidR="00365F48" w:rsidRPr="007E539E" w:rsidRDefault="00365F48" w:rsidP="0074713F">
      <w:pPr>
        <w:pStyle w:val="Text"/>
        <w:jc w:val="both"/>
        <w:rPr>
          <w:lang w:val="en-US"/>
        </w:rPr>
      </w:pPr>
      <w:r w:rsidRPr="007E539E">
        <w:rPr>
          <w:lang w:val="en-US"/>
        </w:rPr>
        <w:t xml:space="preserve">On the other hand, in Italy and Oslo, the municipal and regional authorities along with the fire departments of each municipality are involved in the process. However, in Milan we note that different agencies are consulted to issue the permit. </w:t>
      </w:r>
    </w:p>
    <w:p w:rsidR="00365F48" w:rsidRPr="00213F46" w:rsidRDefault="00365F48" w:rsidP="0074713F">
      <w:pPr>
        <w:pStyle w:val="Text"/>
        <w:jc w:val="both"/>
        <w:rPr>
          <w:lang w:val="en-US"/>
        </w:rPr>
      </w:pPr>
      <w:r w:rsidRPr="007E539E">
        <w:rPr>
          <w:lang w:val="en-US"/>
        </w:rPr>
        <w:t xml:space="preserve">In Aarau (Switzerland), in addition to the local authorities involved, the </w:t>
      </w:r>
      <w:r w:rsidR="00000DF7" w:rsidRPr="007E539E">
        <w:rPr>
          <w:lang w:val="en-US"/>
        </w:rPr>
        <w:t xml:space="preserve">regional authority (the </w:t>
      </w:r>
      <w:r w:rsidRPr="007E539E">
        <w:rPr>
          <w:lang w:val="en-US"/>
        </w:rPr>
        <w:t xml:space="preserve">department </w:t>
      </w:r>
      <w:r w:rsidR="00000DF7" w:rsidRPr="007E539E">
        <w:rPr>
          <w:lang w:val="en-US"/>
        </w:rPr>
        <w:t xml:space="preserve">of economic affairs and labour - </w:t>
      </w:r>
      <w:r w:rsidRPr="007E539E">
        <w:rPr>
          <w:lang w:val="en-US"/>
        </w:rPr>
        <w:t>Volkswirtschaft und Inneres –Wirtschaft und Arbeit –</w:t>
      </w:r>
      <w:r w:rsidR="008A4321" w:rsidRPr="007E539E">
        <w:rPr>
          <w:lang w:val="en-US"/>
        </w:rPr>
        <w:t xml:space="preserve"> AWA) has to consent </w:t>
      </w:r>
      <w:r w:rsidR="00000DF7" w:rsidRPr="007E539E">
        <w:rPr>
          <w:lang w:val="en-US"/>
        </w:rPr>
        <w:t xml:space="preserve">to </w:t>
      </w:r>
      <w:r w:rsidR="008A4321" w:rsidRPr="007E539E">
        <w:rPr>
          <w:lang w:val="en-US"/>
        </w:rPr>
        <w:t>the issue</w:t>
      </w:r>
      <w:r w:rsidRPr="007E539E">
        <w:rPr>
          <w:lang w:val="en-US"/>
        </w:rPr>
        <w:t xml:space="preserve"> of a building license.</w:t>
      </w:r>
    </w:p>
    <w:p w:rsidR="00365F48" w:rsidRDefault="00365F48" w:rsidP="0074713F">
      <w:pPr>
        <w:pStyle w:val="Text"/>
        <w:jc w:val="both"/>
        <w:rPr>
          <w:lang w:val="en-US"/>
        </w:rPr>
      </w:pPr>
      <w:r w:rsidRPr="00213F46">
        <w:rPr>
          <w:lang w:val="en-US"/>
        </w:rPr>
        <w:t>In the case of London, we note that additional safety controls were conducted in 2010, in view of the Olympic Games in 2012. In addition to these protocols, extra licenses were sought, as the building was located near a railway station.</w:t>
      </w:r>
    </w:p>
    <w:p w:rsidR="00365F48" w:rsidRDefault="00365F48">
      <w:pPr>
        <w:rPr>
          <w:lang w:val="en-US"/>
        </w:rPr>
      </w:pPr>
      <w:r>
        <w:rPr>
          <w:lang w:val="en-US"/>
        </w:rPr>
        <w:br w:type="page"/>
      </w:r>
    </w:p>
    <w:tbl>
      <w:tblPr>
        <w:tblW w:w="874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175"/>
        <w:gridCol w:w="5174"/>
        <w:gridCol w:w="1396"/>
      </w:tblGrid>
      <w:tr w:rsidR="00365F48" w:rsidRPr="00C705C1" w:rsidTr="002101E5">
        <w:trPr>
          <w:trHeight w:val="315"/>
          <w:tblHeader/>
        </w:trPr>
        <w:tc>
          <w:tcPr>
            <w:tcW w:w="2175" w:type="dxa"/>
            <w:vAlign w:val="center"/>
          </w:tcPr>
          <w:p w:rsidR="00365F48" w:rsidRPr="00C705C1" w:rsidRDefault="00365F48" w:rsidP="00C705C1">
            <w:pPr>
              <w:jc w:val="both"/>
              <w:rPr>
                <w:rFonts w:ascii="Calibri" w:hAnsi="Calibri" w:cs="Calibri"/>
                <w:b/>
                <w:bCs/>
                <w:color w:val="000000"/>
                <w:lang w:eastAsia="en-GB"/>
              </w:rPr>
            </w:pPr>
            <w:r w:rsidRPr="00C705C1">
              <w:rPr>
                <w:rFonts w:ascii="Calibri" w:hAnsi="Calibri" w:cs="Calibri"/>
                <w:b/>
                <w:bCs/>
                <w:color w:val="000000"/>
                <w:sz w:val="22"/>
                <w:szCs w:val="22"/>
                <w:lang w:eastAsia="en-GB"/>
              </w:rPr>
              <w:lastRenderedPageBreak/>
              <w:t>Role of Advisor</w:t>
            </w:r>
          </w:p>
        </w:tc>
        <w:tc>
          <w:tcPr>
            <w:tcW w:w="5174" w:type="dxa"/>
            <w:vAlign w:val="center"/>
          </w:tcPr>
          <w:p w:rsidR="00365F48" w:rsidRPr="00C705C1" w:rsidRDefault="00365F48" w:rsidP="00C705C1">
            <w:pPr>
              <w:jc w:val="both"/>
              <w:rPr>
                <w:rFonts w:ascii="Calibri" w:hAnsi="Calibri" w:cs="Calibri"/>
                <w:b/>
                <w:bCs/>
                <w:color w:val="000000"/>
                <w:lang w:eastAsia="en-GB"/>
              </w:rPr>
            </w:pPr>
            <w:r w:rsidRPr="00C705C1">
              <w:rPr>
                <w:rFonts w:ascii="Calibri" w:hAnsi="Calibri" w:cs="Calibri"/>
                <w:b/>
                <w:bCs/>
                <w:color w:val="000000"/>
                <w:sz w:val="22"/>
                <w:szCs w:val="22"/>
                <w:lang w:eastAsia="en-GB"/>
              </w:rPr>
              <w:t>Name of organisation</w:t>
            </w:r>
          </w:p>
        </w:tc>
        <w:tc>
          <w:tcPr>
            <w:tcW w:w="1396" w:type="dxa"/>
            <w:vAlign w:val="center"/>
          </w:tcPr>
          <w:p w:rsidR="00365F48" w:rsidRPr="00C705C1" w:rsidRDefault="00365F48" w:rsidP="00C705C1">
            <w:pPr>
              <w:jc w:val="both"/>
              <w:rPr>
                <w:rFonts w:ascii="Calibri" w:hAnsi="Calibri" w:cs="Calibri"/>
                <w:b/>
                <w:bCs/>
                <w:color w:val="000000"/>
                <w:lang w:eastAsia="en-GB"/>
              </w:rPr>
            </w:pPr>
            <w:r w:rsidRPr="00C705C1">
              <w:rPr>
                <w:rFonts w:ascii="Calibri" w:hAnsi="Calibri" w:cs="Calibri"/>
                <w:b/>
                <w:bCs/>
                <w:color w:val="000000"/>
                <w:sz w:val="22"/>
                <w:szCs w:val="22"/>
                <w:lang w:eastAsia="en-GB"/>
              </w:rPr>
              <w:t>Country/City</w:t>
            </w:r>
          </w:p>
        </w:tc>
      </w:tr>
      <w:tr w:rsidR="00365F48" w:rsidRPr="00C705C1" w:rsidTr="002101E5">
        <w:trPr>
          <w:trHeight w:val="915"/>
          <w:tblHeader/>
        </w:trPr>
        <w:tc>
          <w:tcPr>
            <w:tcW w:w="2175" w:type="dxa"/>
            <w:vAlign w:val="center"/>
          </w:tcPr>
          <w:p w:rsidR="00365F48" w:rsidRPr="00C705C1" w:rsidRDefault="00365F48" w:rsidP="00C705C1">
            <w:pPr>
              <w:jc w:val="both"/>
              <w:rPr>
                <w:rFonts w:ascii="Calibri" w:hAnsi="Calibri" w:cs="Calibri"/>
                <w:color w:val="000000"/>
                <w:lang w:eastAsia="en-GB"/>
              </w:rPr>
            </w:pPr>
            <w:r w:rsidRPr="00C705C1">
              <w:rPr>
                <w:rFonts w:ascii="Calibri" w:hAnsi="Calibri" w:cs="Calibri"/>
                <w:color w:val="000000"/>
                <w:sz w:val="22"/>
                <w:szCs w:val="22"/>
                <w:lang w:eastAsia="en-GB"/>
              </w:rPr>
              <w:t>Issuer of permit</w:t>
            </w:r>
          </w:p>
        </w:tc>
        <w:tc>
          <w:tcPr>
            <w:tcW w:w="5174" w:type="dxa"/>
            <w:vAlign w:val="center"/>
          </w:tcPr>
          <w:p w:rsidR="00365F48" w:rsidRPr="00365F48" w:rsidRDefault="00003CF6" w:rsidP="005864DF">
            <w:pPr>
              <w:jc w:val="both"/>
              <w:rPr>
                <w:rFonts w:ascii="Calibri" w:hAnsi="Calibri" w:cs="Calibri"/>
                <w:color w:val="000000"/>
                <w:lang w:val="de-DE" w:eastAsia="en-GB"/>
              </w:rPr>
            </w:pPr>
            <w:r w:rsidRPr="00003CF6">
              <w:rPr>
                <w:rFonts w:ascii="Calibri" w:hAnsi="Calibri" w:cs="Calibri"/>
                <w:color w:val="000000"/>
                <w:sz w:val="22"/>
                <w:szCs w:val="22"/>
                <w:lang w:val="de-DE" w:eastAsia="en-GB"/>
              </w:rPr>
              <w:t>Behörde für Soziales, Familie, Gesundheit und Verbraucherschutz</w:t>
            </w:r>
            <w:r w:rsidR="005864DF">
              <w:rPr>
                <w:rFonts w:ascii="Calibri" w:hAnsi="Calibri" w:cs="Calibri"/>
                <w:color w:val="000000"/>
                <w:sz w:val="22"/>
                <w:szCs w:val="22"/>
                <w:lang w:val="de-DE" w:eastAsia="en-GB"/>
              </w:rPr>
              <w:t xml:space="preserve"> (</w:t>
            </w:r>
            <w:r w:rsidR="005864DF" w:rsidRPr="005864DF">
              <w:rPr>
                <w:rFonts w:ascii="Calibri" w:hAnsi="Calibri" w:cs="Calibri"/>
                <w:color w:val="000000"/>
                <w:sz w:val="22"/>
                <w:szCs w:val="22"/>
                <w:lang w:val="de-DE" w:eastAsia="en-GB"/>
              </w:rPr>
              <w:t>Ministry for Social and Family Affairs, Health and Consumer Protection</w:t>
            </w:r>
            <w:r w:rsidR="005864DF">
              <w:rPr>
                <w:rFonts w:ascii="Calibri" w:hAnsi="Calibri" w:cs="Calibri"/>
                <w:color w:val="000000"/>
                <w:sz w:val="22"/>
                <w:szCs w:val="22"/>
                <w:lang w:val="de-DE" w:eastAsia="en-GB"/>
              </w:rPr>
              <w:t>)</w:t>
            </w:r>
            <w:r w:rsidRPr="00003CF6">
              <w:rPr>
                <w:rFonts w:ascii="Calibri" w:hAnsi="Calibri" w:cs="Calibri"/>
                <w:color w:val="000000"/>
                <w:sz w:val="22"/>
                <w:szCs w:val="22"/>
                <w:lang w:val="de-DE" w:eastAsia="en-GB"/>
              </w:rPr>
              <w:t>- Hamburg</w:t>
            </w:r>
          </w:p>
        </w:tc>
        <w:tc>
          <w:tcPr>
            <w:tcW w:w="1396" w:type="dxa"/>
            <w:vMerge w:val="restart"/>
            <w:vAlign w:val="center"/>
          </w:tcPr>
          <w:p w:rsidR="00365F48" w:rsidRPr="00C705C1" w:rsidRDefault="00365F48" w:rsidP="00C705C1">
            <w:pPr>
              <w:jc w:val="center"/>
              <w:rPr>
                <w:rFonts w:ascii="Calibri" w:hAnsi="Calibri" w:cs="Calibri"/>
                <w:color w:val="000000"/>
                <w:lang w:eastAsia="en-GB"/>
              </w:rPr>
            </w:pPr>
            <w:r w:rsidRPr="00C705C1">
              <w:rPr>
                <w:rFonts w:ascii="Calibri" w:hAnsi="Calibri" w:cs="Calibri"/>
                <w:color w:val="000000"/>
                <w:sz w:val="22"/>
                <w:szCs w:val="22"/>
                <w:lang w:eastAsia="en-GB"/>
              </w:rPr>
              <w:t>DE</w:t>
            </w:r>
          </w:p>
        </w:tc>
      </w:tr>
      <w:tr w:rsidR="00365F48" w:rsidRPr="007E5446" w:rsidTr="002101E5">
        <w:trPr>
          <w:trHeight w:val="615"/>
          <w:tblHeader/>
        </w:trPr>
        <w:tc>
          <w:tcPr>
            <w:tcW w:w="2175" w:type="dxa"/>
            <w:vAlign w:val="center"/>
          </w:tcPr>
          <w:p w:rsidR="00365F48" w:rsidRPr="00C705C1" w:rsidRDefault="00365F48" w:rsidP="00C705C1">
            <w:pPr>
              <w:jc w:val="both"/>
              <w:rPr>
                <w:rFonts w:ascii="Calibri" w:hAnsi="Calibri" w:cs="Calibri"/>
                <w:color w:val="000000"/>
                <w:lang w:eastAsia="en-GB"/>
              </w:rPr>
            </w:pPr>
            <w:r w:rsidRPr="00C705C1">
              <w:rPr>
                <w:rFonts w:ascii="Calibri" w:hAnsi="Calibri" w:cs="Calibri"/>
                <w:color w:val="000000"/>
                <w:sz w:val="22"/>
                <w:szCs w:val="22"/>
                <w:lang w:eastAsia="en-GB"/>
              </w:rPr>
              <w:t>Advisor to issuer</w:t>
            </w:r>
          </w:p>
        </w:tc>
        <w:tc>
          <w:tcPr>
            <w:tcW w:w="5174" w:type="dxa"/>
            <w:vAlign w:val="center"/>
          </w:tcPr>
          <w:p w:rsidR="00365F48" w:rsidRPr="00365F48" w:rsidRDefault="00003CF6" w:rsidP="005864DF">
            <w:pPr>
              <w:jc w:val="both"/>
              <w:rPr>
                <w:rFonts w:ascii="Calibri" w:hAnsi="Calibri" w:cs="Calibri"/>
                <w:color w:val="000000"/>
                <w:lang w:val="de-DE" w:eastAsia="en-GB"/>
              </w:rPr>
            </w:pPr>
            <w:r w:rsidRPr="00003CF6">
              <w:rPr>
                <w:rFonts w:ascii="Calibri" w:hAnsi="Calibri" w:cs="Calibri"/>
                <w:color w:val="000000"/>
                <w:sz w:val="22"/>
                <w:szCs w:val="22"/>
                <w:lang w:val="de-DE" w:eastAsia="en-GB"/>
              </w:rPr>
              <w:t xml:space="preserve">Gewerbeaufsichtsamt bei der Reg. v. Oberbayern </w:t>
            </w:r>
            <w:r w:rsidR="005864DF">
              <w:rPr>
                <w:rFonts w:ascii="Calibri" w:hAnsi="Calibri" w:cs="Calibri"/>
                <w:color w:val="000000"/>
                <w:sz w:val="22"/>
                <w:szCs w:val="22"/>
                <w:lang w:val="de-DE" w:eastAsia="en-GB"/>
              </w:rPr>
              <w:t>–</w:t>
            </w:r>
            <w:r w:rsidRPr="00003CF6">
              <w:rPr>
                <w:rFonts w:ascii="Calibri" w:hAnsi="Calibri" w:cs="Calibri"/>
                <w:color w:val="000000"/>
                <w:sz w:val="22"/>
                <w:szCs w:val="22"/>
                <w:lang w:val="de-DE" w:eastAsia="en-GB"/>
              </w:rPr>
              <w:t xml:space="preserve"> München</w:t>
            </w:r>
            <w:r w:rsidR="005864DF">
              <w:rPr>
                <w:rFonts w:ascii="Calibri" w:hAnsi="Calibri" w:cs="Calibri"/>
                <w:color w:val="000000"/>
                <w:sz w:val="22"/>
                <w:szCs w:val="22"/>
                <w:lang w:val="de-DE" w:eastAsia="en-GB"/>
              </w:rPr>
              <w:t xml:space="preserve">  (Building</w:t>
            </w:r>
            <w:r w:rsidR="005864DF" w:rsidRPr="005864DF">
              <w:rPr>
                <w:rFonts w:ascii="Calibri" w:hAnsi="Calibri" w:cs="Calibri"/>
                <w:color w:val="000000"/>
                <w:sz w:val="22"/>
                <w:szCs w:val="22"/>
                <w:lang w:val="de-DE" w:eastAsia="en-GB"/>
              </w:rPr>
              <w:t xml:space="preserve"> Inspectorate in Upper Bavaria </w:t>
            </w:r>
            <w:r w:rsidR="005864DF">
              <w:rPr>
                <w:rFonts w:ascii="Calibri" w:hAnsi="Calibri" w:cs="Calibri"/>
                <w:color w:val="000000"/>
                <w:sz w:val="22"/>
                <w:szCs w:val="22"/>
                <w:lang w:val="de-DE" w:eastAsia="en-GB"/>
              </w:rPr>
              <w:t>)</w:t>
            </w:r>
            <w:r w:rsidR="005864DF" w:rsidRPr="005864DF">
              <w:rPr>
                <w:rFonts w:ascii="Calibri" w:hAnsi="Calibri" w:cs="Calibri"/>
                <w:color w:val="000000"/>
                <w:sz w:val="22"/>
                <w:szCs w:val="22"/>
                <w:lang w:val="de-DE" w:eastAsia="en-GB"/>
              </w:rPr>
              <w:t>- Munich</w:t>
            </w:r>
          </w:p>
        </w:tc>
        <w:tc>
          <w:tcPr>
            <w:tcW w:w="1396" w:type="dxa"/>
            <w:vMerge/>
            <w:vAlign w:val="center"/>
          </w:tcPr>
          <w:p w:rsidR="00365F48" w:rsidRPr="00365F48" w:rsidRDefault="00365F48" w:rsidP="00C705C1">
            <w:pPr>
              <w:rPr>
                <w:rFonts w:ascii="Calibri" w:hAnsi="Calibri" w:cs="Calibri"/>
                <w:color w:val="000000"/>
                <w:sz w:val="22"/>
                <w:szCs w:val="22"/>
                <w:lang w:val="de-DE" w:eastAsia="en-GB"/>
              </w:rPr>
            </w:pPr>
          </w:p>
        </w:tc>
      </w:tr>
      <w:tr w:rsidR="00365F48" w:rsidRPr="005864DF" w:rsidTr="002101E5">
        <w:trPr>
          <w:trHeight w:val="615"/>
          <w:tblHeader/>
        </w:trPr>
        <w:tc>
          <w:tcPr>
            <w:tcW w:w="2175" w:type="dxa"/>
            <w:vAlign w:val="center"/>
          </w:tcPr>
          <w:p w:rsidR="00365F48" w:rsidRPr="00C705C1" w:rsidRDefault="00365F48" w:rsidP="00C705C1">
            <w:pPr>
              <w:jc w:val="both"/>
              <w:rPr>
                <w:rFonts w:ascii="Calibri" w:hAnsi="Calibri" w:cs="Calibri"/>
                <w:color w:val="000000"/>
                <w:lang w:eastAsia="en-GB"/>
              </w:rPr>
            </w:pPr>
            <w:r w:rsidRPr="00C705C1">
              <w:rPr>
                <w:rFonts w:ascii="Calibri" w:hAnsi="Calibri" w:cs="Calibri"/>
                <w:color w:val="000000"/>
                <w:sz w:val="22"/>
                <w:szCs w:val="22"/>
                <w:lang w:eastAsia="en-GB"/>
              </w:rPr>
              <w:t>Inspection authority</w:t>
            </w:r>
          </w:p>
        </w:tc>
        <w:tc>
          <w:tcPr>
            <w:tcW w:w="5174" w:type="dxa"/>
            <w:vAlign w:val="center"/>
          </w:tcPr>
          <w:p w:rsidR="00365F48" w:rsidRPr="00365F48" w:rsidRDefault="00003CF6" w:rsidP="005864DF">
            <w:pPr>
              <w:jc w:val="both"/>
              <w:rPr>
                <w:rFonts w:ascii="Calibri" w:hAnsi="Calibri" w:cs="Calibri"/>
                <w:color w:val="000000"/>
                <w:sz w:val="22"/>
                <w:szCs w:val="22"/>
                <w:lang w:val="de-DE" w:eastAsia="en-GB"/>
              </w:rPr>
            </w:pPr>
            <w:r w:rsidRPr="00003CF6">
              <w:rPr>
                <w:rFonts w:ascii="Calibri" w:hAnsi="Calibri" w:cs="Calibri"/>
                <w:color w:val="000000"/>
                <w:sz w:val="22"/>
                <w:szCs w:val="22"/>
                <w:lang w:val="de-DE" w:eastAsia="en-GB"/>
              </w:rPr>
              <w:t>Regierungspräsidium Darmstadt, Abt. Arbeitsschutz</w:t>
            </w:r>
            <w:r w:rsidR="005864DF">
              <w:rPr>
                <w:rFonts w:ascii="Calibri" w:hAnsi="Calibri" w:cs="Calibri"/>
                <w:color w:val="000000"/>
                <w:sz w:val="22"/>
                <w:szCs w:val="22"/>
                <w:lang w:val="de-DE" w:eastAsia="en-GB"/>
              </w:rPr>
              <w:t xml:space="preserve"> (</w:t>
            </w:r>
            <w:r w:rsidR="005864DF" w:rsidRPr="005864DF">
              <w:rPr>
                <w:rFonts w:ascii="Calibri" w:hAnsi="Calibri" w:cs="Calibri"/>
                <w:color w:val="000000"/>
                <w:sz w:val="22"/>
                <w:szCs w:val="22"/>
                <w:lang w:val="de-DE" w:eastAsia="en-GB"/>
              </w:rPr>
              <w:t xml:space="preserve">Darmstadt Regional Council, Department of Labour Protection </w:t>
            </w:r>
            <w:r w:rsidR="005864DF">
              <w:rPr>
                <w:rFonts w:ascii="Calibri" w:hAnsi="Calibri" w:cs="Calibri"/>
                <w:color w:val="000000"/>
                <w:sz w:val="22"/>
                <w:szCs w:val="22"/>
                <w:lang w:val="de-DE" w:eastAsia="en-GB"/>
              </w:rPr>
              <w:t>–</w:t>
            </w:r>
            <w:r w:rsidR="005864DF" w:rsidRPr="005864DF">
              <w:rPr>
                <w:rFonts w:ascii="Calibri" w:hAnsi="Calibri" w:cs="Calibri"/>
                <w:color w:val="000000"/>
                <w:sz w:val="22"/>
                <w:szCs w:val="22"/>
                <w:lang w:val="de-DE" w:eastAsia="en-GB"/>
              </w:rPr>
              <w:t xml:space="preserve"> Frankfurt</w:t>
            </w:r>
            <w:r w:rsidR="005864DF">
              <w:rPr>
                <w:rFonts w:ascii="Calibri" w:hAnsi="Calibri" w:cs="Calibri"/>
                <w:color w:val="000000"/>
                <w:sz w:val="22"/>
                <w:szCs w:val="22"/>
                <w:lang w:val="de-DE" w:eastAsia="en-GB"/>
              </w:rPr>
              <w:t>),</w:t>
            </w:r>
            <w:r w:rsidRPr="00003CF6">
              <w:rPr>
                <w:rFonts w:ascii="Calibri" w:hAnsi="Calibri" w:cs="Calibri"/>
                <w:color w:val="000000"/>
                <w:sz w:val="22"/>
                <w:szCs w:val="22"/>
                <w:lang w:val="de-DE" w:eastAsia="en-GB"/>
              </w:rPr>
              <w:t xml:space="preserve"> Frankfurt.</w:t>
            </w:r>
          </w:p>
        </w:tc>
        <w:tc>
          <w:tcPr>
            <w:tcW w:w="1396" w:type="dxa"/>
            <w:vMerge/>
            <w:vAlign w:val="center"/>
          </w:tcPr>
          <w:p w:rsidR="00365F48" w:rsidRPr="00365F48" w:rsidRDefault="00365F48" w:rsidP="00C705C1">
            <w:pPr>
              <w:rPr>
                <w:rFonts w:ascii="Calibri" w:hAnsi="Calibri" w:cs="Calibri"/>
                <w:color w:val="000000"/>
                <w:sz w:val="22"/>
                <w:szCs w:val="22"/>
                <w:lang w:val="de-DE" w:eastAsia="en-GB"/>
              </w:rPr>
            </w:pPr>
          </w:p>
        </w:tc>
      </w:tr>
      <w:tr w:rsidR="00365F48" w:rsidRPr="00C705C1" w:rsidTr="002101E5">
        <w:trPr>
          <w:trHeight w:val="1515"/>
          <w:tblHeader/>
        </w:trPr>
        <w:tc>
          <w:tcPr>
            <w:tcW w:w="2175" w:type="dxa"/>
            <w:vAlign w:val="center"/>
          </w:tcPr>
          <w:p w:rsidR="00365F48" w:rsidRPr="00C705C1" w:rsidRDefault="00365F48" w:rsidP="00C705C1">
            <w:pPr>
              <w:jc w:val="both"/>
              <w:rPr>
                <w:rFonts w:ascii="Calibri" w:hAnsi="Calibri" w:cs="Calibri"/>
                <w:color w:val="000000"/>
                <w:lang w:eastAsia="en-GB"/>
              </w:rPr>
            </w:pPr>
            <w:r w:rsidRPr="00C705C1">
              <w:rPr>
                <w:rFonts w:ascii="Calibri" w:hAnsi="Calibri" w:cs="Calibri"/>
                <w:color w:val="000000"/>
                <w:sz w:val="22"/>
                <w:szCs w:val="22"/>
                <w:lang w:eastAsia="en-GB"/>
              </w:rPr>
              <w:t>Issuer of permit</w:t>
            </w:r>
          </w:p>
        </w:tc>
        <w:tc>
          <w:tcPr>
            <w:tcW w:w="5174" w:type="dxa"/>
            <w:vAlign w:val="center"/>
          </w:tcPr>
          <w:p w:rsidR="00365F48" w:rsidRPr="00C705C1" w:rsidRDefault="00003CF6" w:rsidP="00164534">
            <w:pPr>
              <w:jc w:val="both"/>
              <w:rPr>
                <w:rFonts w:ascii="Calibri" w:hAnsi="Calibri" w:cs="Calibri"/>
                <w:color w:val="000000"/>
                <w:lang w:eastAsia="en-GB"/>
              </w:rPr>
            </w:pPr>
            <w:r w:rsidRPr="00003CF6">
              <w:rPr>
                <w:rFonts w:ascii="Calibri" w:hAnsi="Calibri" w:cs="Calibri"/>
                <w:color w:val="000000"/>
                <w:sz w:val="22"/>
                <w:szCs w:val="22"/>
                <w:lang w:val="de-DE" w:eastAsia="en-GB"/>
              </w:rPr>
              <w:t>Behörde für Stadtentwicklung und Umwelt Hamburg (BSU)</w:t>
            </w:r>
            <w:r w:rsidR="00164534">
              <w:rPr>
                <w:rFonts w:ascii="Calibri" w:hAnsi="Calibri" w:cs="Calibri"/>
                <w:color w:val="000000"/>
                <w:sz w:val="22"/>
                <w:szCs w:val="22"/>
                <w:lang w:val="de-DE" w:eastAsia="en-GB"/>
              </w:rPr>
              <w:t xml:space="preserve"> </w:t>
            </w:r>
            <w:r w:rsidR="005864DF">
              <w:rPr>
                <w:rFonts w:ascii="Calibri" w:hAnsi="Calibri" w:cs="Calibri"/>
                <w:color w:val="000000"/>
                <w:sz w:val="22"/>
                <w:szCs w:val="22"/>
                <w:lang w:val="de-DE" w:eastAsia="en-GB"/>
              </w:rPr>
              <w:t>(</w:t>
            </w:r>
            <w:r w:rsidR="005864DF" w:rsidRPr="005864DF">
              <w:rPr>
                <w:rFonts w:ascii="Calibri" w:hAnsi="Calibri" w:cs="Calibri"/>
                <w:color w:val="000000"/>
                <w:sz w:val="22"/>
                <w:szCs w:val="22"/>
                <w:lang w:val="de-DE" w:eastAsia="en-GB"/>
              </w:rPr>
              <w:t>Ministry of Urban Developmen</w:t>
            </w:r>
            <w:r w:rsidR="005864DF">
              <w:rPr>
                <w:rFonts w:ascii="Calibri" w:hAnsi="Calibri" w:cs="Calibri"/>
                <w:color w:val="000000"/>
                <w:sz w:val="22"/>
                <w:szCs w:val="22"/>
                <w:lang w:val="de-DE" w:eastAsia="en-GB"/>
              </w:rPr>
              <w:t xml:space="preserve">t and Environment) Hamburg </w:t>
            </w:r>
            <w:r w:rsidRPr="00003CF6">
              <w:rPr>
                <w:rFonts w:ascii="Calibri" w:hAnsi="Calibri" w:cs="Calibri"/>
                <w:color w:val="000000"/>
                <w:sz w:val="22"/>
                <w:szCs w:val="22"/>
                <w:lang w:val="de-DE" w:eastAsia="en-GB"/>
              </w:rPr>
              <w:t xml:space="preserve">- This varies from district to disctrict. </w:t>
            </w:r>
            <w:r w:rsidR="00365F48" w:rsidRPr="00C705C1">
              <w:rPr>
                <w:rFonts w:ascii="Calibri" w:hAnsi="Calibri" w:cs="Calibri"/>
                <w:color w:val="000000"/>
                <w:sz w:val="22"/>
                <w:szCs w:val="22"/>
                <w:lang w:eastAsia="en-GB"/>
              </w:rPr>
              <w:t>For refueling station HafenCity the BSU was the responsible authority.</w:t>
            </w:r>
            <w:r w:rsidR="005864DF">
              <w:rPr>
                <w:rFonts w:ascii="Calibri" w:hAnsi="Calibri" w:cs="Calibri"/>
                <w:color w:val="000000"/>
                <w:sz w:val="22"/>
                <w:szCs w:val="22"/>
                <w:lang w:eastAsia="en-GB"/>
              </w:rPr>
              <w:t xml:space="preserve"> </w:t>
            </w:r>
          </w:p>
        </w:tc>
        <w:tc>
          <w:tcPr>
            <w:tcW w:w="1396" w:type="dxa"/>
            <w:vMerge w:val="restart"/>
            <w:vAlign w:val="center"/>
          </w:tcPr>
          <w:p w:rsidR="00365F48" w:rsidRPr="00C705C1" w:rsidRDefault="00365F48" w:rsidP="00C705C1">
            <w:pPr>
              <w:jc w:val="center"/>
              <w:rPr>
                <w:rFonts w:ascii="Calibri" w:hAnsi="Calibri" w:cs="Calibri"/>
                <w:color w:val="000000"/>
                <w:lang w:eastAsia="en-GB"/>
              </w:rPr>
            </w:pPr>
            <w:r w:rsidRPr="00C705C1">
              <w:rPr>
                <w:rFonts w:ascii="Calibri" w:hAnsi="Calibri" w:cs="Calibri"/>
                <w:color w:val="000000"/>
                <w:sz w:val="22"/>
                <w:szCs w:val="22"/>
                <w:lang w:eastAsia="en-GB"/>
              </w:rPr>
              <w:t xml:space="preserve">Hamburg </w:t>
            </w:r>
          </w:p>
        </w:tc>
      </w:tr>
      <w:tr w:rsidR="00365F48" w:rsidRPr="00C705C1" w:rsidTr="002101E5">
        <w:trPr>
          <w:trHeight w:val="915"/>
          <w:tblHeader/>
        </w:trPr>
        <w:tc>
          <w:tcPr>
            <w:tcW w:w="2175" w:type="dxa"/>
            <w:vAlign w:val="center"/>
          </w:tcPr>
          <w:p w:rsidR="00365F48" w:rsidRPr="00C705C1" w:rsidRDefault="00365F48" w:rsidP="00C705C1">
            <w:pPr>
              <w:jc w:val="both"/>
              <w:rPr>
                <w:rFonts w:ascii="Calibri" w:hAnsi="Calibri" w:cs="Calibri"/>
                <w:color w:val="000000"/>
                <w:lang w:eastAsia="en-GB"/>
              </w:rPr>
            </w:pPr>
            <w:r w:rsidRPr="00C705C1">
              <w:rPr>
                <w:rFonts w:ascii="Calibri" w:hAnsi="Calibri" w:cs="Calibri"/>
                <w:color w:val="000000"/>
                <w:sz w:val="22"/>
                <w:szCs w:val="22"/>
                <w:lang w:eastAsia="en-GB"/>
              </w:rPr>
              <w:t>Inspection authority</w:t>
            </w:r>
          </w:p>
        </w:tc>
        <w:tc>
          <w:tcPr>
            <w:tcW w:w="5174" w:type="dxa"/>
            <w:vAlign w:val="center"/>
          </w:tcPr>
          <w:p w:rsidR="00365F48" w:rsidRPr="00C705C1" w:rsidRDefault="00365F48" w:rsidP="00C705C1">
            <w:pPr>
              <w:rPr>
                <w:rFonts w:ascii="Calibri" w:hAnsi="Calibri" w:cs="Calibri"/>
                <w:color w:val="000000"/>
                <w:lang w:eastAsia="en-GB"/>
              </w:rPr>
            </w:pPr>
            <w:r w:rsidRPr="00C705C1">
              <w:rPr>
                <w:rFonts w:ascii="Calibri" w:hAnsi="Calibri" w:cs="Calibri"/>
                <w:color w:val="000000"/>
                <w:sz w:val="22"/>
                <w:szCs w:val="22"/>
                <w:lang w:eastAsia="en-GB"/>
              </w:rPr>
              <w:t xml:space="preserve">TÜV Süd. The TÜV is not an authority but private. The TÜV inspects technically and the BSU controls if the TÜV has inspected. </w:t>
            </w:r>
          </w:p>
        </w:tc>
        <w:tc>
          <w:tcPr>
            <w:tcW w:w="1396" w:type="dxa"/>
            <w:vMerge/>
            <w:vAlign w:val="center"/>
          </w:tcPr>
          <w:p w:rsidR="00365F48" w:rsidRPr="00C705C1" w:rsidRDefault="00365F48" w:rsidP="00C705C1">
            <w:pPr>
              <w:rPr>
                <w:rFonts w:ascii="Calibri" w:hAnsi="Calibri" w:cs="Calibri"/>
                <w:color w:val="000000"/>
                <w:lang w:eastAsia="en-GB"/>
              </w:rPr>
            </w:pPr>
          </w:p>
        </w:tc>
      </w:tr>
      <w:tr w:rsidR="00A7420F" w:rsidRPr="00C705C1" w:rsidTr="00A7420F">
        <w:trPr>
          <w:trHeight w:val="749"/>
          <w:tblHeader/>
        </w:trPr>
        <w:tc>
          <w:tcPr>
            <w:tcW w:w="2175" w:type="dxa"/>
            <w:vAlign w:val="center"/>
          </w:tcPr>
          <w:p w:rsidR="00A7420F" w:rsidRPr="00C705C1" w:rsidRDefault="00A7420F" w:rsidP="00C705C1">
            <w:pPr>
              <w:rPr>
                <w:rFonts w:ascii="Calibri" w:hAnsi="Calibri" w:cs="Calibri"/>
                <w:color w:val="000000"/>
                <w:sz w:val="22"/>
                <w:szCs w:val="22"/>
                <w:lang w:eastAsia="en-GB"/>
              </w:rPr>
            </w:pPr>
            <w:r w:rsidRPr="00C705C1">
              <w:rPr>
                <w:rFonts w:ascii="Calibri" w:hAnsi="Calibri" w:cs="Calibri"/>
                <w:color w:val="000000"/>
                <w:sz w:val="22"/>
                <w:szCs w:val="22"/>
                <w:lang w:eastAsia="en-GB"/>
              </w:rPr>
              <w:t>Issuer of permit</w:t>
            </w:r>
          </w:p>
        </w:tc>
        <w:tc>
          <w:tcPr>
            <w:tcW w:w="5174" w:type="dxa"/>
            <w:vAlign w:val="center"/>
          </w:tcPr>
          <w:p w:rsidR="00A7420F" w:rsidRPr="005864DF" w:rsidRDefault="00A7420F" w:rsidP="00C705C1">
            <w:pPr>
              <w:rPr>
                <w:rFonts w:ascii="Calibri" w:hAnsi="Calibri" w:cs="Calibri"/>
                <w:color w:val="000000"/>
                <w:sz w:val="22"/>
                <w:szCs w:val="22"/>
                <w:lang w:val="en-US" w:eastAsia="en-GB"/>
              </w:rPr>
            </w:pPr>
            <w:r w:rsidRPr="005864DF">
              <w:rPr>
                <w:rFonts w:ascii="Calibri" w:hAnsi="Calibri" w:cs="Calibri"/>
                <w:color w:val="000000"/>
                <w:sz w:val="22"/>
                <w:szCs w:val="22"/>
                <w:lang w:val="en-US" w:eastAsia="en-GB"/>
              </w:rPr>
              <w:t xml:space="preserve">Bauamt der Stadt Hürth, Bezirksregierung Köln </w:t>
            </w:r>
            <w:r w:rsidR="005864DF" w:rsidRPr="005864DF">
              <w:rPr>
                <w:rFonts w:ascii="Calibri" w:hAnsi="Calibri" w:cs="Calibri"/>
                <w:color w:val="000000"/>
                <w:sz w:val="22"/>
                <w:szCs w:val="22"/>
                <w:lang w:val="en-US" w:eastAsia="en-GB"/>
              </w:rPr>
              <w:t xml:space="preserve"> (Building Authority of the City of Hurth, District Government of Cologne </w:t>
            </w:r>
            <w:r w:rsidR="005864DF">
              <w:rPr>
                <w:rFonts w:ascii="Calibri" w:hAnsi="Calibri" w:cs="Calibri"/>
                <w:color w:val="000000"/>
                <w:sz w:val="22"/>
                <w:szCs w:val="22"/>
                <w:lang w:val="en-US" w:eastAsia="en-GB"/>
              </w:rPr>
              <w:t xml:space="preserve">) </w:t>
            </w:r>
            <w:r w:rsidRPr="005864DF">
              <w:rPr>
                <w:rFonts w:ascii="Calibri" w:hAnsi="Calibri" w:cs="Calibri"/>
                <w:color w:val="000000"/>
                <w:sz w:val="22"/>
                <w:szCs w:val="22"/>
                <w:lang w:val="en-US" w:eastAsia="en-GB"/>
              </w:rPr>
              <w:t>(Notification)</w:t>
            </w:r>
          </w:p>
        </w:tc>
        <w:tc>
          <w:tcPr>
            <w:tcW w:w="1396" w:type="dxa"/>
            <w:vMerge w:val="restart"/>
            <w:vAlign w:val="center"/>
          </w:tcPr>
          <w:p w:rsidR="00A7420F" w:rsidRDefault="00A7420F" w:rsidP="00C705C1">
            <w:pPr>
              <w:jc w:val="center"/>
              <w:rPr>
                <w:rFonts w:ascii="Calibri" w:hAnsi="Calibri" w:cs="Calibri"/>
                <w:color w:val="000000"/>
                <w:sz w:val="22"/>
                <w:szCs w:val="22"/>
                <w:lang w:eastAsia="en-GB"/>
              </w:rPr>
            </w:pPr>
            <w:r>
              <w:rPr>
                <w:rFonts w:ascii="Calibri" w:hAnsi="Calibri" w:cs="Calibri"/>
                <w:color w:val="000000"/>
                <w:sz w:val="22"/>
                <w:szCs w:val="22"/>
                <w:lang w:eastAsia="en-GB"/>
              </w:rPr>
              <w:t>Cologne</w:t>
            </w:r>
          </w:p>
        </w:tc>
      </w:tr>
      <w:tr w:rsidR="00A7420F" w:rsidRPr="00C705C1" w:rsidTr="00A7420F">
        <w:trPr>
          <w:trHeight w:val="676"/>
          <w:tblHeader/>
        </w:trPr>
        <w:tc>
          <w:tcPr>
            <w:tcW w:w="2175" w:type="dxa"/>
            <w:vAlign w:val="center"/>
          </w:tcPr>
          <w:p w:rsidR="00A7420F" w:rsidRPr="00C705C1" w:rsidRDefault="00A7420F" w:rsidP="00C705C1">
            <w:pPr>
              <w:rPr>
                <w:rFonts w:ascii="Calibri" w:hAnsi="Calibri" w:cs="Calibri"/>
                <w:color w:val="000000"/>
                <w:sz w:val="22"/>
                <w:szCs w:val="22"/>
                <w:lang w:eastAsia="en-GB"/>
              </w:rPr>
            </w:pPr>
            <w:r w:rsidRPr="00C705C1">
              <w:rPr>
                <w:rFonts w:ascii="Calibri" w:hAnsi="Calibri" w:cs="Calibri"/>
                <w:color w:val="000000"/>
                <w:sz w:val="22"/>
                <w:szCs w:val="22"/>
                <w:lang w:eastAsia="en-GB"/>
              </w:rPr>
              <w:t>Advisor to issuer</w:t>
            </w:r>
          </w:p>
        </w:tc>
        <w:tc>
          <w:tcPr>
            <w:tcW w:w="5174" w:type="dxa"/>
            <w:vAlign w:val="center"/>
          </w:tcPr>
          <w:p w:rsidR="00A7420F" w:rsidRPr="00C705C1" w:rsidRDefault="00A7420F" w:rsidP="00C705C1">
            <w:pPr>
              <w:rPr>
                <w:rFonts w:ascii="Calibri" w:hAnsi="Calibri" w:cs="Calibri"/>
                <w:color w:val="000000"/>
                <w:sz w:val="22"/>
                <w:szCs w:val="22"/>
                <w:lang w:eastAsia="en-GB"/>
              </w:rPr>
            </w:pPr>
            <w:r w:rsidRPr="00A7420F">
              <w:rPr>
                <w:rFonts w:ascii="Calibri" w:hAnsi="Calibri" w:cs="Calibri"/>
                <w:color w:val="000000"/>
                <w:sz w:val="22"/>
                <w:szCs w:val="22"/>
                <w:lang w:eastAsia="en-GB"/>
              </w:rPr>
              <w:t>Bezirksregierung Köln</w:t>
            </w:r>
            <w:r w:rsidR="005864DF">
              <w:rPr>
                <w:rFonts w:ascii="Calibri" w:hAnsi="Calibri" w:cs="Calibri"/>
                <w:color w:val="000000"/>
                <w:sz w:val="22"/>
                <w:szCs w:val="22"/>
                <w:lang w:eastAsia="en-GB"/>
              </w:rPr>
              <w:t xml:space="preserve"> (</w:t>
            </w:r>
            <w:r w:rsidR="005864DF" w:rsidRPr="005864DF">
              <w:rPr>
                <w:rFonts w:ascii="Calibri" w:hAnsi="Calibri" w:cs="Calibri"/>
                <w:color w:val="000000"/>
                <w:sz w:val="22"/>
                <w:szCs w:val="22"/>
                <w:lang w:eastAsia="en-GB"/>
              </w:rPr>
              <w:t>Cologne regional government</w:t>
            </w:r>
            <w:r w:rsidR="005864DF">
              <w:rPr>
                <w:rFonts w:ascii="Calibri" w:hAnsi="Calibri" w:cs="Calibri"/>
                <w:color w:val="000000"/>
                <w:sz w:val="22"/>
                <w:szCs w:val="22"/>
                <w:lang w:eastAsia="en-GB"/>
              </w:rPr>
              <w:t>)</w:t>
            </w:r>
          </w:p>
        </w:tc>
        <w:tc>
          <w:tcPr>
            <w:tcW w:w="1396" w:type="dxa"/>
            <w:vMerge/>
            <w:vAlign w:val="center"/>
          </w:tcPr>
          <w:p w:rsidR="00A7420F" w:rsidRDefault="00A7420F" w:rsidP="00C705C1">
            <w:pPr>
              <w:jc w:val="center"/>
              <w:rPr>
                <w:rFonts w:ascii="Calibri" w:hAnsi="Calibri" w:cs="Calibri"/>
                <w:color w:val="000000"/>
                <w:sz w:val="22"/>
                <w:szCs w:val="22"/>
                <w:lang w:eastAsia="en-GB"/>
              </w:rPr>
            </w:pPr>
          </w:p>
        </w:tc>
      </w:tr>
      <w:tr w:rsidR="00A7420F" w:rsidRPr="00C705C1" w:rsidTr="005864DF">
        <w:trPr>
          <w:trHeight w:val="536"/>
          <w:tblHeader/>
        </w:trPr>
        <w:tc>
          <w:tcPr>
            <w:tcW w:w="2175" w:type="dxa"/>
            <w:vAlign w:val="center"/>
          </w:tcPr>
          <w:p w:rsidR="00A7420F" w:rsidRPr="00C705C1" w:rsidRDefault="00A7420F" w:rsidP="00C705C1">
            <w:pPr>
              <w:rPr>
                <w:rFonts w:ascii="Calibri" w:hAnsi="Calibri" w:cs="Calibri"/>
                <w:color w:val="000000"/>
                <w:sz w:val="22"/>
                <w:szCs w:val="22"/>
                <w:lang w:eastAsia="en-GB"/>
              </w:rPr>
            </w:pPr>
            <w:r w:rsidRPr="00C705C1">
              <w:rPr>
                <w:rFonts w:ascii="Calibri" w:hAnsi="Calibri" w:cs="Calibri"/>
                <w:color w:val="000000"/>
                <w:sz w:val="22"/>
                <w:szCs w:val="22"/>
                <w:lang w:eastAsia="en-GB"/>
              </w:rPr>
              <w:t>Inspection authority</w:t>
            </w:r>
          </w:p>
        </w:tc>
        <w:tc>
          <w:tcPr>
            <w:tcW w:w="5174" w:type="dxa"/>
            <w:vAlign w:val="center"/>
          </w:tcPr>
          <w:p w:rsidR="00A7420F" w:rsidRPr="00C705C1" w:rsidRDefault="00A7420F" w:rsidP="00C705C1">
            <w:pPr>
              <w:rPr>
                <w:rFonts w:ascii="Calibri" w:hAnsi="Calibri" w:cs="Calibri"/>
                <w:color w:val="000000"/>
                <w:sz w:val="22"/>
                <w:szCs w:val="22"/>
                <w:lang w:eastAsia="en-GB"/>
              </w:rPr>
            </w:pPr>
            <w:r w:rsidRPr="00A7420F">
              <w:rPr>
                <w:rFonts w:ascii="Calibri" w:hAnsi="Calibri" w:cs="Calibri"/>
                <w:color w:val="000000"/>
                <w:sz w:val="22"/>
                <w:szCs w:val="22"/>
                <w:lang w:eastAsia="en-GB"/>
              </w:rPr>
              <w:t>TÜV</w:t>
            </w:r>
            <w:r>
              <w:rPr>
                <w:rFonts w:ascii="Calibri" w:hAnsi="Calibri" w:cs="Calibri"/>
                <w:color w:val="000000"/>
                <w:sz w:val="22"/>
                <w:szCs w:val="22"/>
                <w:lang w:eastAsia="en-GB"/>
              </w:rPr>
              <w:t xml:space="preserve"> (see above).</w:t>
            </w:r>
          </w:p>
        </w:tc>
        <w:tc>
          <w:tcPr>
            <w:tcW w:w="1396" w:type="dxa"/>
            <w:vMerge/>
            <w:vAlign w:val="center"/>
          </w:tcPr>
          <w:p w:rsidR="00A7420F" w:rsidRDefault="00A7420F" w:rsidP="00C705C1">
            <w:pPr>
              <w:jc w:val="center"/>
              <w:rPr>
                <w:rFonts w:ascii="Calibri" w:hAnsi="Calibri" w:cs="Calibri"/>
                <w:color w:val="000000"/>
                <w:sz w:val="22"/>
                <w:szCs w:val="22"/>
                <w:lang w:eastAsia="en-GB"/>
              </w:rPr>
            </w:pPr>
          </w:p>
        </w:tc>
      </w:tr>
      <w:tr w:rsidR="00A7420F" w:rsidRPr="00C705C1" w:rsidTr="002101E5">
        <w:trPr>
          <w:trHeight w:val="87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Issuer of permit</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Amt für Handel und Dienstleistungen der Autonomen Provinz Bozen – Südtirol (Office of trade and services of the Autonomous Province of Bozen – Südtirol)</w:t>
            </w:r>
          </w:p>
        </w:tc>
        <w:tc>
          <w:tcPr>
            <w:tcW w:w="1396" w:type="dxa"/>
            <w:vMerge w:val="restart"/>
            <w:vAlign w:val="center"/>
          </w:tcPr>
          <w:p w:rsidR="00A7420F" w:rsidRPr="00C705C1" w:rsidRDefault="00A7420F" w:rsidP="00C705C1">
            <w:pPr>
              <w:jc w:val="center"/>
              <w:rPr>
                <w:rFonts w:ascii="Calibri" w:hAnsi="Calibri" w:cs="Calibri"/>
                <w:color w:val="000000"/>
                <w:lang w:eastAsia="en-GB"/>
              </w:rPr>
            </w:pPr>
            <w:r>
              <w:rPr>
                <w:rFonts w:ascii="Calibri" w:hAnsi="Calibri" w:cs="Calibri"/>
                <w:color w:val="000000"/>
                <w:sz w:val="22"/>
                <w:szCs w:val="22"/>
                <w:lang w:eastAsia="en-GB"/>
              </w:rPr>
              <w:t>IT (</w:t>
            </w:r>
            <w:r w:rsidRPr="00C705C1">
              <w:rPr>
                <w:rFonts w:ascii="Calibri" w:hAnsi="Calibri" w:cs="Calibri"/>
                <w:color w:val="000000"/>
                <w:sz w:val="22"/>
                <w:szCs w:val="22"/>
                <w:lang w:eastAsia="en-GB"/>
              </w:rPr>
              <w:t>Bolzano</w:t>
            </w:r>
            <w:r>
              <w:rPr>
                <w:rFonts w:ascii="Calibri" w:hAnsi="Calibri" w:cs="Calibri"/>
                <w:color w:val="000000"/>
                <w:sz w:val="22"/>
                <w:szCs w:val="22"/>
                <w:lang w:eastAsia="en-GB"/>
              </w:rPr>
              <w:t>)</w:t>
            </w:r>
          </w:p>
        </w:tc>
      </w:tr>
      <w:tr w:rsidR="00A7420F" w:rsidRPr="00C705C1" w:rsidTr="002101E5">
        <w:trPr>
          <w:trHeight w:val="87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Advisor to issuer</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Dienststellenkonferenz der Gemeinde Bozen (Conferences of the Services of the municipality of Bolzano)</w:t>
            </w:r>
          </w:p>
        </w:tc>
        <w:tc>
          <w:tcPr>
            <w:tcW w:w="1396" w:type="dxa"/>
            <w:vMerge/>
            <w:vAlign w:val="center"/>
          </w:tcPr>
          <w:p w:rsidR="00A7420F" w:rsidRPr="00C705C1" w:rsidRDefault="00A7420F" w:rsidP="00C705C1">
            <w:pPr>
              <w:rPr>
                <w:rFonts w:ascii="Calibri" w:hAnsi="Calibri" w:cs="Calibri"/>
                <w:color w:val="000000"/>
                <w:lang w:eastAsia="en-GB"/>
              </w:rPr>
            </w:pPr>
          </w:p>
        </w:tc>
      </w:tr>
      <w:tr w:rsidR="00A7420F" w:rsidRPr="00C705C1" w:rsidTr="002101E5">
        <w:trPr>
          <w:trHeight w:val="87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Advisor to issuer</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Amt für Brandverhütung der Autonomen Provinz Bozen – Südtirol (Agency of Fire Prevention of the Autonomous Province of Bozen – Südtirol)</w:t>
            </w:r>
          </w:p>
        </w:tc>
        <w:tc>
          <w:tcPr>
            <w:tcW w:w="1396" w:type="dxa"/>
            <w:vMerge/>
            <w:vAlign w:val="center"/>
          </w:tcPr>
          <w:p w:rsidR="00A7420F" w:rsidRPr="00C705C1" w:rsidRDefault="00A7420F" w:rsidP="00C705C1">
            <w:pPr>
              <w:rPr>
                <w:rFonts w:ascii="Calibri" w:hAnsi="Calibri" w:cs="Calibri"/>
                <w:color w:val="000000"/>
                <w:lang w:eastAsia="en-GB"/>
              </w:rPr>
            </w:pPr>
          </w:p>
        </w:tc>
      </w:tr>
      <w:tr w:rsidR="00A7420F" w:rsidRPr="00C705C1" w:rsidTr="002101E5">
        <w:trPr>
          <w:trHeight w:val="87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Provincial Fire Brigade Headquarter</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Project assessment request</w:t>
            </w:r>
            <w:r w:rsidRPr="00C705C1">
              <w:rPr>
                <w:rFonts w:ascii="Calibri" w:hAnsi="Calibri" w:cs="Calibri"/>
                <w:color w:val="000000"/>
                <w:sz w:val="22"/>
                <w:szCs w:val="22"/>
                <w:lang w:eastAsia="en-GB"/>
              </w:rPr>
              <w:br/>
              <w:t>Fire prevention certificate request</w:t>
            </w:r>
            <w:r w:rsidRPr="00C705C1">
              <w:rPr>
                <w:rFonts w:ascii="Calibri" w:hAnsi="Calibri" w:cs="Calibri"/>
                <w:color w:val="000000"/>
                <w:sz w:val="22"/>
                <w:szCs w:val="22"/>
                <w:lang w:eastAsia="en-GB"/>
              </w:rPr>
              <w:br/>
              <w:t>Project assessment request</w:t>
            </w:r>
            <w:r w:rsidRPr="00C705C1">
              <w:rPr>
                <w:rFonts w:ascii="Calibri" w:hAnsi="Calibri" w:cs="Calibri"/>
                <w:color w:val="000000"/>
                <w:sz w:val="22"/>
                <w:szCs w:val="22"/>
                <w:lang w:eastAsia="en-GB"/>
              </w:rPr>
              <w:br/>
              <w:t>Fire prevention certificate request</w:t>
            </w:r>
          </w:p>
        </w:tc>
        <w:tc>
          <w:tcPr>
            <w:tcW w:w="1396" w:type="dxa"/>
            <w:vMerge w:val="restart"/>
            <w:vAlign w:val="center"/>
          </w:tcPr>
          <w:p w:rsidR="00A7420F" w:rsidRPr="00C705C1" w:rsidRDefault="00A7420F" w:rsidP="00C705C1">
            <w:pPr>
              <w:jc w:val="center"/>
              <w:rPr>
                <w:rFonts w:ascii="Calibri" w:hAnsi="Calibri" w:cs="Calibri"/>
                <w:color w:val="000000"/>
                <w:lang w:eastAsia="en-GB"/>
              </w:rPr>
            </w:pPr>
            <w:r>
              <w:rPr>
                <w:rFonts w:ascii="Calibri" w:hAnsi="Calibri" w:cs="Calibri"/>
                <w:color w:val="000000"/>
                <w:sz w:val="22"/>
                <w:szCs w:val="22"/>
                <w:lang w:eastAsia="en-GB"/>
              </w:rPr>
              <w:t>IT (</w:t>
            </w:r>
            <w:r w:rsidRPr="00C705C1">
              <w:rPr>
                <w:rFonts w:ascii="Calibri" w:hAnsi="Calibri" w:cs="Calibri"/>
                <w:color w:val="000000"/>
                <w:sz w:val="22"/>
                <w:szCs w:val="22"/>
                <w:lang w:eastAsia="en-GB"/>
              </w:rPr>
              <w:t>Milan</w:t>
            </w:r>
            <w:r>
              <w:rPr>
                <w:rFonts w:ascii="Calibri" w:hAnsi="Calibri" w:cs="Calibri"/>
                <w:color w:val="000000"/>
                <w:sz w:val="22"/>
                <w:szCs w:val="22"/>
                <w:lang w:eastAsia="en-GB"/>
              </w:rPr>
              <w:t>)</w:t>
            </w:r>
          </w:p>
        </w:tc>
      </w:tr>
      <w:tr w:rsidR="00A7420F" w:rsidRPr="00C705C1" w:rsidTr="002101E5">
        <w:trPr>
          <w:trHeight w:val="87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Milan municipality – Fuels office</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Fuel station building authorization request</w:t>
            </w:r>
            <w:r w:rsidRPr="00C705C1">
              <w:rPr>
                <w:rFonts w:ascii="Calibri" w:hAnsi="Calibri" w:cs="Calibri"/>
                <w:color w:val="000000"/>
                <w:sz w:val="22"/>
                <w:szCs w:val="22"/>
                <w:lang w:eastAsia="en-GB"/>
              </w:rPr>
              <w:br/>
              <w:t>Operation authorization request</w:t>
            </w:r>
            <w:r w:rsidRPr="00C705C1">
              <w:rPr>
                <w:rFonts w:ascii="Calibri" w:hAnsi="Calibri" w:cs="Calibri"/>
                <w:color w:val="000000"/>
                <w:sz w:val="22"/>
                <w:szCs w:val="22"/>
                <w:lang w:eastAsia="en-GB"/>
              </w:rPr>
              <w:br/>
              <w:t>(In the authorization process are involved several agencies, like ASL, ARPA, ISPESL, INAIL, Milan Province, Lombardia Region, ENAC)</w:t>
            </w:r>
          </w:p>
        </w:tc>
        <w:tc>
          <w:tcPr>
            <w:tcW w:w="1396" w:type="dxa"/>
            <w:vMerge/>
            <w:vAlign w:val="center"/>
          </w:tcPr>
          <w:p w:rsidR="00A7420F" w:rsidRPr="00C705C1" w:rsidRDefault="00A7420F" w:rsidP="00C705C1">
            <w:pPr>
              <w:rPr>
                <w:rFonts w:ascii="Calibri" w:hAnsi="Calibri" w:cs="Calibri"/>
                <w:color w:val="000000"/>
                <w:lang w:eastAsia="en-GB"/>
              </w:rPr>
            </w:pPr>
          </w:p>
        </w:tc>
      </w:tr>
      <w:tr w:rsidR="00A7420F" w:rsidRPr="00C705C1" w:rsidTr="009931DC">
        <w:trPr>
          <w:trHeight w:val="557"/>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lastRenderedPageBreak/>
              <w:t>Milan municipality – Building office</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Civil works authori</w:t>
            </w:r>
            <w:r>
              <w:rPr>
                <w:rFonts w:ascii="Calibri" w:hAnsi="Calibri" w:cs="Calibri"/>
                <w:color w:val="000000"/>
                <w:sz w:val="22"/>
                <w:szCs w:val="22"/>
                <w:lang w:eastAsia="en-GB"/>
              </w:rPr>
              <w:t>s</w:t>
            </w:r>
            <w:r w:rsidRPr="00C705C1">
              <w:rPr>
                <w:rFonts w:ascii="Calibri" w:hAnsi="Calibri" w:cs="Calibri"/>
                <w:color w:val="000000"/>
                <w:sz w:val="22"/>
                <w:szCs w:val="22"/>
                <w:lang w:eastAsia="en-GB"/>
              </w:rPr>
              <w:t xml:space="preserve">ation request </w:t>
            </w:r>
          </w:p>
        </w:tc>
        <w:tc>
          <w:tcPr>
            <w:tcW w:w="1396" w:type="dxa"/>
            <w:vMerge/>
            <w:vAlign w:val="center"/>
          </w:tcPr>
          <w:p w:rsidR="00A7420F" w:rsidRPr="00C705C1" w:rsidRDefault="00A7420F" w:rsidP="00C705C1">
            <w:pPr>
              <w:rPr>
                <w:rFonts w:ascii="Calibri" w:hAnsi="Calibri" w:cs="Calibri"/>
                <w:color w:val="000000"/>
                <w:lang w:eastAsia="en-GB"/>
              </w:rPr>
            </w:pPr>
          </w:p>
        </w:tc>
      </w:tr>
      <w:tr w:rsidR="00A7420F" w:rsidRPr="00C705C1" w:rsidTr="002101E5">
        <w:trPr>
          <w:trHeight w:val="615"/>
          <w:tblHeader/>
        </w:trPr>
        <w:tc>
          <w:tcPr>
            <w:tcW w:w="2175" w:type="dxa"/>
            <w:vAlign w:val="center"/>
          </w:tcPr>
          <w:p w:rsidR="00A7420F" w:rsidRPr="00C705C1" w:rsidRDefault="00A7420F" w:rsidP="00C705C1">
            <w:pPr>
              <w:jc w:val="both"/>
              <w:rPr>
                <w:rFonts w:ascii="Calibri" w:hAnsi="Calibri" w:cs="Calibri"/>
                <w:color w:val="000000"/>
                <w:lang w:eastAsia="en-GB"/>
              </w:rPr>
            </w:pPr>
            <w:r w:rsidRPr="00C705C1">
              <w:rPr>
                <w:rFonts w:ascii="Calibri" w:hAnsi="Calibri" w:cs="Calibri"/>
                <w:color w:val="000000"/>
                <w:sz w:val="22"/>
                <w:szCs w:val="22"/>
                <w:lang w:eastAsia="en-GB"/>
              </w:rPr>
              <w:t>Work health and safety office</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Building works beginning notification</w:t>
            </w:r>
          </w:p>
        </w:tc>
        <w:tc>
          <w:tcPr>
            <w:tcW w:w="1396" w:type="dxa"/>
            <w:vMerge/>
            <w:vAlign w:val="center"/>
          </w:tcPr>
          <w:p w:rsidR="00A7420F" w:rsidRPr="00C705C1" w:rsidRDefault="00A7420F" w:rsidP="00C705C1">
            <w:pPr>
              <w:rPr>
                <w:rFonts w:ascii="Calibri" w:hAnsi="Calibri" w:cs="Calibri"/>
                <w:color w:val="000000"/>
                <w:lang w:eastAsia="en-GB"/>
              </w:rPr>
            </w:pPr>
          </w:p>
        </w:tc>
      </w:tr>
      <w:tr w:rsidR="00A7420F" w:rsidRPr="00C705C1" w:rsidTr="002101E5">
        <w:trPr>
          <w:trHeight w:val="684"/>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Formal notice</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Oppegård municipality</w:t>
            </w:r>
            <w:r w:rsidRPr="00C705C1">
              <w:rPr>
                <w:rFonts w:ascii="Calibri" w:hAnsi="Calibri" w:cs="Calibri"/>
                <w:color w:val="000000"/>
                <w:sz w:val="22"/>
                <w:szCs w:val="22"/>
                <w:lang w:eastAsia="en-GB"/>
              </w:rPr>
              <w:br/>
              <w:t>«Direktoratet for Sikkerhet og Berdskap» (Safety and Readiness) – This authority has not issued permit, but the builder and operator of the station had to give a formal notice.</w:t>
            </w:r>
          </w:p>
        </w:tc>
        <w:tc>
          <w:tcPr>
            <w:tcW w:w="1396" w:type="dxa"/>
            <w:vMerge w:val="restart"/>
            <w:vAlign w:val="center"/>
          </w:tcPr>
          <w:p w:rsidR="00A7420F" w:rsidRPr="00C705C1" w:rsidRDefault="00A7420F" w:rsidP="00C705C1">
            <w:pPr>
              <w:jc w:val="center"/>
              <w:rPr>
                <w:rFonts w:ascii="Calibri" w:hAnsi="Calibri" w:cs="Calibri"/>
                <w:color w:val="000000"/>
                <w:lang w:eastAsia="en-GB"/>
              </w:rPr>
            </w:pPr>
            <w:r w:rsidRPr="00C705C1">
              <w:rPr>
                <w:rFonts w:ascii="Calibri" w:hAnsi="Calibri" w:cs="Calibri"/>
                <w:color w:val="000000"/>
                <w:sz w:val="22"/>
                <w:szCs w:val="22"/>
                <w:lang w:eastAsia="en-GB"/>
              </w:rPr>
              <w:t>NO (Oslo)</w:t>
            </w:r>
          </w:p>
        </w:tc>
      </w:tr>
      <w:tr w:rsidR="00A7420F" w:rsidRPr="007D0053" w:rsidTr="002101E5">
        <w:trPr>
          <w:trHeight w:val="90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Advisor to issuer</w:t>
            </w:r>
          </w:p>
        </w:tc>
        <w:tc>
          <w:tcPr>
            <w:tcW w:w="5174" w:type="dxa"/>
            <w:vAlign w:val="center"/>
          </w:tcPr>
          <w:p w:rsidR="00A7420F" w:rsidRPr="00365F48" w:rsidRDefault="00A7420F" w:rsidP="00C705C1">
            <w:pPr>
              <w:rPr>
                <w:rFonts w:ascii="Calibri" w:hAnsi="Calibri" w:cs="Calibri"/>
                <w:color w:val="000000"/>
                <w:sz w:val="22"/>
                <w:szCs w:val="22"/>
                <w:lang w:val="nb-NO" w:eastAsia="en-GB"/>
              </w:rPr>
            </w:pPr>
            <w:r w:rsidRPr="00003CF6">
              <w:rPr>
                <w:rFonts w:ascii="Calibri" w:hAnsi="Calibri" w:cs="Calibri"/>
                <w:color w:val="000000"/>
                <w:sz w:val="22"/>
                <w:szCs w:val="22"/>
                <w:lang w:val="nb-NO" w:eastAsia="en-GB"/>
              </w:rPr>
              <w:t>“Direktoratet for sikkerhet og beredskap» Oslo og Follo Fire- department</w:t>
            </w:r>
          </w:p>
        </w:tc>
        <w:tc>
          <w:tcPr>
            <w:tcW w:w="1396" w:type="dxa"/>
            <w:vMerge/>
            <w:vAlign w:val="center"/>
          </w:tcPr>
          <w:p w:rsidR="00A7420F" w:rsidRPr="00365F48" w:rsidRDefault="00A7420F" w:rsidP="00C705C1">
            <w:pPr>
              <w:rPr>
                <w:rFonts w:ascii="Calibri" w:hAnsi="Calibri" w:cs="Calibri"/>
                <w:color w:val="000000"/>
                <w:sz w:val="22"/>
                <w:szCs w:val="22"/>
                <w:lang w:val="nb-NO" w:eastAsia="en-GB"/>
              </w:rPr>
            </w:pPr>
          </w:p>
        </w:tc>
      </w:tr>
      <w:tr w:rsidR="00A7420F" w:rsidRPr="007D0053" w:rsidTr="002101E5">
        <w:trPr>
          <w:trHeight w:val="900"/>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Inspection authority</w:t>
            </w:r>
          </w:p>
        </w:tc>
        <w:tc>
          <w:tcPr>
            <w:tcW w:w="5174" w:type="dxa"/>
            <w:vAlign w:val="center"/>
          </w:tcPr>
          <w:p w:rsidR="00A7420F" w:rsidRPr="00365F48" w:rsidRDefault="00A7420F" w:rsidP="00C705C1">
            <w:pPr>
              <w:rPr>
                <w:rFonts w:ascii="Calibri" w:hAnsi="Calibri" w:cs="Calibri"/>
                <w:color w:val="000000"/>
                <w:sz w:val="22"/>
                <w:szCs w:val="22"/>
                <w:lang w:val="nb-NO" w:eastAsia="en-GB"/>
              </w:rPr>
            </w:pPr>
            <w:r w:rsidRPr="00003CF6">
              <w:rPr>
                <w:rFonts w:ascii="Calibri" w:hAnsi="Calibri" w:cs="Calibri"/>
                <w:color w:val="000000"/>
                <w:sz w:val="22"/>
                <w:szCs w:val="22"/>
                <w:lang w:val="nb-NO" w:eastAsia="en-GB"/>
              </w:rPr>
              <w:t xml:space="preserve">“Direktorat for sikkerhet og beredskap», the local fire </w:t>
            </w:r>
            <w:r>
              <w:rPr>
                <w:rFonts w:ascii="Calibri" w:hAnsi="Calibri" w:cs="Calibri"/>
                <w:color w:val="000000"/>
                <w:sz w:val="22"/>
                <w:szCs w:val="22"/>
                <w:lang w:val="nb-NO" w:eastAsia="en-GB"/>
              </w:rPr>
              <w:t>–</w:t>
            </w:r>
            <w:r>
              <w:rPr>
                <w:rFonts w:ascii="Calibri" w:hAnsi="Calibri" w:cs="Calibri"/>
                <w:color w:val="000000"/>
                <w:sz w:val="22"/>
                <w:szCs w:val="22"/>
                <w:lang w:val="nb-NO" w:eastAsia="en-GB"/>
              </w:rPr>
              <w:br/>
            </w:r>
            <w:r w:rsidRPr="00003CF6">
              <w:rPr>
                <w:rFonts w:ascii="Calibri" w:hAnsi="Calibri" w:cs="Calibri"/>
                <w:color w:val="000000"/>
                <w:sz w:val="22"/>
                <w:szCs w:val="22"/>
                <w:lang w:val="nb-NO" w:eastAsia="en-GB"/>
              </w:rPr>
              <w:t>Departement.</w:t>
            </w:r>
          </w:p>
        </w:tc>
        <w:tc>
          <w:tcPr>
            <w:tcW w:w="1396" w:type="dxa"/>
            <w:vMerge/>
            <w:vAlign w:val="center"/>
          </w:tcPr>
          <w:p w:rsidR="00A7420F" w:rsidRPr="00365F48" w:rsidRDefault="00A7420F" w:rsidP="00C705C1">
            <w:pPr>
              <w:rPr>
                <w:rFonts w:ascii="Calibri" w:hAnsi="Calibri" w:cs="Calibri"/>
                <w:color w:val="000000"/>
                <w:sz w:val="22"/>
                <w:szCs w:val="22"/>
                <w:lang w:val="nb-NO" w:eastAsia="en-GB"/>
              </w:rPr>
            </w:pPr>
          </w:p>
        </w:tc>
      </w:tr>
      <w:tr w:rsidR="00A7420F" w:rsidRPr="00C705C1" w:rsidTr="00E00D93">
        <w:trPr>
          <w:trHeight w:val="2215"/>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Responsible for legislation</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 xml:space="preserve">“Plan og byggningsloven” (law on building permits ) </w:t>
            </w:r>
            <w:r w:rsidRPr="00C705C1">
              <w:rPr>
                <w:rFonts w:ascii="Calibri" w:hAnsi="Calibri" w:cs="Calibri"/>
                <w:color w:val="000000"/>
                <w:sz w:val="22"/>
                <w:szCs w:val="22"/>
                <w:lang w:eastAsia="en-GB"/>
              </w:rPr>
              <w:br/>
              <w:t>Several authorities amongst them Oppegård municipality</w:t>
            </w:r>
            <w:r w:rsidRPr="00C705C1">
              <w:rPr>
                <w:rFonts w:ascii="Calibri" w:hAnsi="Calibri" w:cs="Calibri"/>
                <w:color w:val="000000"/>
                <w:sz w:val="22"/>
                <w:szCs w:val="22"/>
                <w:lang w:eastAsia="en-GB"/>
              </w:rPr>
              <w:br/>
              <w:t>“Brann og eksplosjonsvernsloven” ( law on fire and safety measurements) Several authorities, amongst them the local fire department, the local municipalities and « Direktoratet for sikkerhet og beredskap»</w:t>
            </w:r>
          </w:p>
        </w:tc>
        <w:tc>
          <w:tcPr>
            <w:tcW w:w="1396" w:type="dxa"/>
            <w:vMerge/>
            <w:vAlign w:val="center"/>
          </w:tcPr>
          <w:p w:rsidR="00A7420F" w:rsidRPr="00C705C1" w:rsidRDefault="00A7420F" w:rsidP="00C705C1">
            <w:pPr>
              <w:rPr>
                <w:rFonts w:ascii="Calibri" w:hAnsi="Calibri" w:cs="Calibri"/>
                <w:color w:val="000000"/>
                <w:lang w:eastAsia="en-GB"/>
              </w:rPr>
            </w:pPr>
          </w:p>
        </w:tc>
      </w:tr>
      <w:tr w:rsidR="00A7420F" w:rsidRPr="00C705C1" w:rsidTr="002101E5">
        <w:trPr>
          <w:trHeight w:val="1822"/>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 </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London Borough of Waltham Forest (Council)</w:t>
            </w:r>
            <w:r w:rsidRPr="00C705C1">
              <w:rPr>
                <w:rFonts w:ascii="Calibri" w:hAnsi="Calibri" w:cs="Calibri"/>
                <w:color w:val="000000"/>
                <w:sz w:val="22"/>
                <w:szCs w:val="22"/>
                <w:lang w:eastAsia="en-GB"/>
              </w:rPr>
              <w:br/>
              <w:t>Olympic Delivery Authority</w:t>
            </w:r>
            <w:r w:rsidRPr="00C705C1">
              <w:rPr>
                <w:rFonts w:ascii="Calibri" w:hAnsi="Calibri" w:cs="Calibri"/>
                <w:color w:val="000000"/>
                <w:sz w:val="22"/>
                <w:szCs w:val="22"/>
                <w:lang w:eastAsia="en-GB"/>
              </w:rPr>
              <w:br/>
              <w:t>London Organising Committee of the Olympic Games</w:t>
            </w:r>
            <w:r w:rsidRPr="00C705C1">
              <w:rPr>
                <w:rFonts w:ascii="Calibri" w:hAnsi="Calibri" w:cs="Calibri"/>
                <w:color w:val="000000"/>
                <w:sz w:val="22"/>
                <w:szCs w:val="22"/>
                <w:lang w:eastAsia="en-GB"/>
              </w:rPr>
              <w:br/>
              <w:t>Fire Brigade</w:t>
            </w:r>
            <w:r w:rsidRPr="00C705C1">
              <w:rPr>
                <w:rFonts w:ascii="Calibri" w:hAnsi="Calibri" w:cs="Calibri"/>
                <w:color w:val="000000"/>
                <w:sz w:val="22"/>
                <w:szCs w:val="22"/>
                <w:lang w:eastAsia="en-GB"/>
              </w:rPr>
              <w:br/>
              <w:t>Greater London Authority (Mayor of London’s office)</w:t>
            </w:r>
            <w:r w:rsidRPr="00C705C1">
              <w:rPr>
                <w:rFonts w:ascii="Calibri" w:hAnsi="Calibri" w:cs="Calibri"/>
                <w:color w:val="000000"/>
                <w:sz w:val="22"/>
                <w:szCs w:val="22"/>
                <w:lang w:eastAsia="en-GB"/>
              </w:rPr>
              <w:br/>
              <w:t>Health and Safety Executive</w:t>
            </w:r>
            <w:r w:rsidRPr="00C705C1">
              <w:rPr>
                <w:rFonts w:ascii="Calibri" w:hAnsi="Calibri" w:cs="Calibri"/>
                <w:color w:val="000000"/>
                <w:sz w:val="22"/>
                <w:szCs w:val="22"/>
                <w:lang w:eastAsia="en-GB"/>
              </w:rPr>
              <w:br/>
              <w:t>Network Rail (because the refue</w:t>
            </w:r>
            <w:r w:rsidR="00A707D9">
              <w:rPr>
                <w:rFonts w:ascii="Calibri" w:hAnsi="Calibri" w:cs="Calibri"/>
                <w:color w:val="000000"/>
                <w:sz w:val="22"/>
                <w:szCs w:val="22"/>
                <w:lang w:eastAsia="en-GB"/>
              </w:rPr>
              <w:t>l</w:t>
            </w:r>
            <w:r w:rsidRPr="00C705C1">
              <w:rPr>
                <w:rFonts w:ascii="Calibri" w:hAnsi="Calibri" w:cs="Calibri"/>
                <w:color w:val="000000"/>
                <w:sz w:val="22"/>
                <w:szCs w:val="22"/>
                <w:lang w:eastAsia="en-GB"/>
              </w:rPr>
              <w:t>ling station was situated near a railway line)</w:t>
            </w:r>
          </w:p>
        </w:tc>
        <w:tc>
          <w:tcPr>
            <w:tcW w:w="1396" w:type="dxa"/>
            <w:vAlign w:val="center"/>
          </w:tcPr>
          <w:p w:rsidR="00A7420F" w:rsidRPr="00C705C1" w:rsidRDefault="00A7420F" w:rsidP="00C705C1">
            <w:pPr>
              <w:jc w:val="center"/>
              <w:rPr>
                <w:rFonts w:ascii="Calibri" w:hAnsi="Calibri" w:cs="Calibri"/>
                <w:color w:val="000000"/>
                <w:lang w:eastAsia="en-GB"/>
              </w:rPr>
            </w:pPr>
            <w:r w:rsidRPr="00C705C1">
              <w:rPr>
                <w:rFonts w:ascii="Calibri" w:hAnsi="Calibri" w:cs="Calibri"/>
                <w:color w:val="000000"/>
                <w:sz w:val="22"/>
                <w:szCs w:val="22"/>
                <w:lang w:eastAsia="en-GB"/>
              </w:rPr>
              <w:t>UK (London)</w:t>
            </w:r>
          </w:p>
        </w:tc>
      </w:tr>
      <w:tr w:rsidR="00A7420F" w:rsidRPr="00C705C1" w:rsidTr="00E00D93">
        <w:trPr>
          <w:trHeight w:val="619"/>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Building licence</w:t>
            </w:r>
          </w:p>
        </w:tc>
        <w:tc>
          <w:tcPr>
            <w:tcW w:w="5174"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Stadtbauamt Brugg (building licence, in cooperation with the following authorities)</w:t>
            </w:r>
          </w:p>
        </w:tc>
        <w:tc>
          <w:tcPr>
            <w:tcW w:w="1396" w:type="dxa"/>
            <w:vMerge w:val="restart"/>
            <w:vAlign w:val="center"/>
          </w:tcPr>
          <w:p w:rsidR="00A7420F" w:rsidRPr="00C705C1" w:rsidRDefault="00A7420F" w:rsidP="00C705C1">
            <w:pPr>
              <w:jc w:val="center"/>
              <w:rPr>
                <w:rFonts w:ascii="Calibri" w:hAnsi="Calibri" w:cs="Calibri"/>
                <w:color w:val="000000"/>
                <w:lang w:eastAsia="en-GB"/>
              </w:rPr>
            </w:pPr>
            <w:r w:rsidRPr="00C705C1">
              <w:rPr>
                <w:rFonts w:ascii="Calibri" w:hAnsi="Calibri" w:cs="Calibri"/>
                <w:color w:val="000000"/>
                <w:sz w:val="22"/>
                <w:szCs w:val="22"/>
                <w:lang w:eastAsia="en-GB"/>
              </w:rPr>
              <w:t>CH (Aarau)</w:t>
            </w:r>
          </w:p>
        </w:tc>
      </w:tr>
      <w:tr w:rsidR="00A7420F" w:rsidRPr="007D0053" w:rsidTr="002101E5">
        <w:trPr>
          <w:trHeight w:val="915"/>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Consent for a building licence operating approval</w:t>
            </w:r>
          </w:p>
        </w:tc>
        <w:tc>
          <w:tcPr>
            <w:tcW w:w="5174" w:type="dxa"/>
            <w:vAlign w:val="center"/>
          </w:tcPr>
          <w:p w:rsidR="00A7420F" w:rsidRPr="00365F48" w:rsidRDefault="00A7420F" w:rsidP="00C705C1">
            <w:pPr>
              <w:rPr>
                <w:rFonts w:ascii="Calibri" w:hAnsi="Calibri" w:cs="Calibri"/>
                <w:color w:val="000000"/>
                <w:lang w:val="de-DE" w:eastAsia="en-GB"/>
              </w:rPr>
            </w:pPr>
            <w:r w:rsidRPr="00003CF6">
              <w:rPr>
                <w:rFonts w:ascii="Calibri" w:hAnsi="Calibri" w:cs="Calibri"/>
                <w:color w:val="000000"/>
                <w:sz w:val="22"/>
                <w:szCs w:val="22"/>
                <w:lang w:val="de-DE" w:eastAsia="en-GB"/>
              </w:rPr>
              <w:t>Aargaurische Gebäudeversicherung Brandschutz (Building fire insurance)</w:t>
            </w:r>
          </w:p>
        </w:tc>
        <w:tc>
          <w:tcPr>
            <w:tcW w:w="1396" w:type="dxa"/>
            <w:vMerge/>
            <w:vAlign w:val="center"/>
          </w:tcPr>
          <w:p w:rsidR="00A7420F" w:rsidRPr="00365F48" w:rsidRDefault="00A7420F" w:rsidP="00C705C1">
            <w:pPr>
              <w:rPr>
                <w:rFonts w:ascii="Calibri" w:hAnsi="Calibri" w:cs="Calibri"/>
                <w:color w:val="000000"/>
                <w:sz w:val="22"/>
                <w:szCs w:val="22"/>
                <w:lang w:val="de-DE" w:eastAsia="en-GB"/>
              </w:rPr>
            </w:pPr>
          </w:p>
        </w:tc>
      </w:tr>
      <w:tr w:rsidR="00A7420F" w:rsidRPr="00C705C1" w:rsidTr="005864DF">
        <w:trPr>
          <w:trHeight w:val="1287"/>
          <w:tblHeader/>
        </w:trPr>
        <w:tc>
          <w:tcPr>
            <w:tcW w:w="2175" w:type="dxa"/>
            <w:vAlign w:val="center"/>
          </w:tcPr>
          <w:p w:rsidR="00A7420F" w:rsidRPr="00C705C1" w:rsidRDefault="00A7420F" w:rsidP="00C705C1">
            <w:pPr>
              <w:rPr>
                <w:rFonts w:ascii="Calibri" w:hAnsi="Calibri" w:cs="Calibri"/>
                <w:color w:val="000000"/>
                <w:lang w:eastAsia="en-GB"/>
              </w:rPr>
            </w:pPr>
            <w:r w:rsidRPr="00C705C1">
              <w:rPr>
                <w:rFonts w:ascii="Calibri" w:hAnsi="Calibri" w:cs="Calibri"/>
                <w:color w:val="000000"/>
                <w:sz w:val="22"/>
                <w:szCs w:val="22"/>
                <w:lang w:eastAsia="en-GB"/>
              </w:rPr>
              <w:t>Consent for a building licence</w:t>
            </w:r>
          </w:p>
        </w:tc>
        <w:tc>
          <w:tcPr>
            <w:tcW w:w="5174" w:type="dxa"/>
            <w:vAlign w:val="center"/>
          </w:tcPr>
          <w:p w:rsidR="00A7420F" w:rsidRPr="00C705C1" w:rsidRDefault="00A707D9" w:rsidP="00C705C1">
            <w:pPr>
              <w:rPr>
                <w:rFonts w:ascii="Calibri" w:hAnsi="Calibri" w:cs="Calibri"/>
                <w:color w:val="000000"/>
                <w:lang w:eastAsia="en-GB"/>
              </w:rPr>
            </w:pPr>
            <w:r>
              <w:rPr>
                <w:rFonts w:ascii="Calibri" w:hAnsi="Calibri" w:cs="Calibri"/>
                <w:color w:val="000000"/>
                <w:sz w:val="22"/>
                <w:szCs w:val="22"/>
                <w:lang w:eastAsia="en-GB"/>
              </w:rPr>
              <w:t>Departe</w:t>
            </w:r>
            <w:r w:rsidR="00A7420F" w:rsidRPr="00C705C1">
              <w:rPr>
                <w:rFonts w:ascii="Calibri" w:hAnsi="Calibri" w:cs="Calibri"/>
                <w:color w:val="000000"/>
                <w:sz w:val="22"/>
                <w:szCs w:val="22"/>
                <w:lang w:eastAsia="en-GB"/>
              </w:rPr>
              <w:t>ment Volkswirtschaft und Inneres –Wirtschaft und Arbeit – AWA (The industrial and commercial supervision implements concerns of health and worker protection)</w:t>
            </w:r>
          </w:p>
        </w:tc>
        <w:tc>
          <w:tcPr>
            <w:tcW w:w="1396" w:type="dxa"/>
            <w:vMerge/>
            <w:vAlign w:val="center"/>
          </w:tcPr>
          <w:p w:rsidR="00A7420F" w:rsidRPr="00C705C1" w:rsidRDefault="00A7420F" w:rsidP="00C705C1">
            <w:pPr>
              <w:rPr>
                <w:rFonts w:ascii="Calibri" w:hAnsi="Calibri" w:cs="Calibri"/>
                <w:color w:val="000000"/>
                <w:lang w:eastAsia="en-GB"/>
              </w:rPr>
            </w:pPr>
          </w:p>
        </w:tc>
      </w:tr>
    </w:tbl>
    <w:p w:rsidR="00365F48" w:rsidRDefault="00365F48" w:rsidP="00C705C1">
      <w:pPr>
        <w:pStyle w:val="Text"/>
        <w:jc w:val="both"/>
        <w:rPr>
          <w:sz w:val="28"/>
          <w:szCs w:val="28"/>
        </w:rPr>
      </w:pPr>
    </w:p>
    <w:p w:rsidR="00365F48" w:rsidRDefault="00365F48">
      <w:pPr>
        <w:rPr>
          <w:sz w:val="28"/>
          <w:szCs w:val="28"/>
        </w:rPr>
      </w:pPr>
      <w:r>
        <w:rPr>
          <w:sz w:val="28"/>
          <w:szCs w:val="28"/>
        </w:rPr>
        <w:br w:type="page"/>
      </w:r>
    </w:p>
    <w:p w:rsidR="00365F48" w:rsidRDefault="00365F48" w:rsidP="009931DC">
      <w:pPr>
        <w:pStyle w:val="Heading2"/>
        <w:numPr>
          <w:ilvl w:val="0"/>
          <w:numId w:val="4"/>
        </w:numPr>
      </w:pPr>
      <w:bookmarkStart w:id="43" w:name="_Toc339439404"/>
      <w:r>
        <w:lastRenderedPageBreak/>
        <w:t>Laws and regulations applied</w:t>
      </w:r>
      <w:bookmarkEnd w:id="43"/>
    </w:p>
    <w:p w:rsidR="00365F48" w:rsidRPr="009931DC" w:rsidRDefault="00365F48" w:rsidP="009931DC">
      <w:pPr>
        <w:pStyle w:val="Text"/>
      </w:pPr>
    </w:p>
    <w:p w:rsidR="00365F48" w:rsidRPr="00213F46" w:rsidRDefault="00365F48" w:rsidP="00144EC1">
      <w:pPr>
        <w:pStyle w:val="Text"/>
        <w:jc w:val="both"/>
      </w:pPr>
      <w:r w:rsidRPr="00213F46">
        <w:t xml:space="preserve">In Germany, the refuelling installations need a certificate according to the Federal Immission Protection Law (Bundes-Immissionsschutzgesetz, BimSchG, §13 BetrSichV (Betriebssicherheitsverordnung). Trucked-in stations can also apply for a normal operation permit according to the abovementioned law. Additional certification is required depending on the amount of hydrogen stored. Furthermore, in the case of stations with on-site production of hydrogen approval according to BimSchG is mandatory. </w:t>
      </w:r>
    </w:p>
    <w:p w:rsidR="00365F48" w:rsidRPr="00213F46" w:rsidRDefault="00365F48" w:rsidP="00144EC1">
      <w:pPr>
        <w:pStyle w:val="Text"/>
        <w:jc w:val="both"/>
      </w:pPr>
      <w:r w:rsidRPr="00213F46">
        <w:t>In Italy, both in Bolzano and Milan, the Ministerial Decree of 31 August 2006 was applied including fire prevention and local building rules.</w:t>
      </w:r>
    </w:p>
    <w:p w:rsidR="00365F48" w:rsidRDefault="00365F48" w:rsidP="00144EC1">
      <w:pPr>
        <w:pStyle w:val="Text"/>
        <w:jc w:val="both"/>
      </w:pPr>
      <w:r w:rsidRPr="00213F46">
        <w:t>In Oslo, similar regulations</w:t>
      </w:r>
      <w:r w:rsidRPr="00213F46">
        <w:rPr>
          <w:rStyle w:val="FootnoteReference"/>
          <w:rFonts w:cs="Arial"/>
        </w:rPr>
        <w:footnoteReference w:id="4"/>
      </w:r>
      <w:r w:rsidRPr="00213F46">
        <w:t xml:space="preserve"> including building and safety aspects are applied, whereas in London the Control of Major Accident and Hazards (COMAH) regulations are applied. It is noteworthy that in Aarau several regulations on building and work safety are applicable (see table below).</w:t>
      </w:r>
    </w:p>
    <w:p w:rsidR="00365F48" w:rsidRDefault="00365F48" w:rsidP="00144EC1">
      <w:pPr>
        <w:pStyle w:val="Text"/>
        <w:jc w:val="both"/>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7924"/>
        <w:gridCol w:w="1364"/>
      </w:tblGrid>
      <w:tr w:rsidR="00365F48" w:rsidRPr="00144EC1" w:rsidTr="004F0E1F">
        <w:trPr>
          <w:trHeight w:val="3170"/>
          <w:tblHeader/>
        </w:trPr>
        <w:tc>
          <w:tcPr>
            <w:tcW w:w="0" w:type="auto"/>
          </w:tcPr>
          <w:p w:rsidR="00365F48" w:rsidRPr="00144EC1"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t xml:space="preserve">HRS’s are installations needing a certificate according to §13 BetrSichV (Betriebssicherheitsverordnung). Above 3 tons of stored hydrogen the Bundes-Immissions-Schutz –Gesetz (BimSchG, http://www.gesetze-im-internet.de/bimschg/) applies. </w:t>
            </w:r>
            <w:r w:rsidRPr="00144EC1">
              <w:rPr>
                <w:rFonts w:ascii="Calibri" w:hAnsi="Calibri" w:cs="Calibri"/>
                <w:color w:val="000000"/>
                <w:sz w:val="22"/>
                <w:szCs w:val="22"/>
                <w:lang w:eastAsia="en-GB"/>
              </w:rPr>
              <w:br/>
              <w:t>Also the BimSchG applies if hydrogen is produced on-site for example via elctrolysis. Compare list of aggregates that need approval according to BimSchG in 4th BimSch-Verordnung (BimSchV) Column 1 point 4.1 section l)</w:t>
            </w:r>
            <w:r w:rsidRPr="00144EC1">
              <w:rPr>
                <w:rFonts w:ascii="Calibri" w:hAnsi="Calibri" w:cs="Calibri"/>
                <w:color w:val="000000"/>
                <w:sz w:val="22"/>
                <w:szCs w:val="22"/>
                <w:lang w:eastAsia="en-GB"/>
              </w:rPr>
              <w:br/>
              <w:t>http://www.gesetze-im-internet.de/bimschv_4_1985/anhang_5.html</w:t>
            </w:r>
            <w:r w:rsidRPr="00144EC1">
              <w:rPr>
                <w:rFonts w:ascii="Calibri" w:hAnsi="Calibri" w:cs="Calibri"/>
                <w:color w:val="000000"/>
                <w:sz w:val="22"/>
                <w:szCs w:val="22"/>
                <w:lang w:eastAsia="en-GB"/>
              </w:rPr>
              <w:br/>
              <w:t>If storing moren than 5 tons hydrogen the Störfallverordnung (Hazardous Incident Ordinance  is applicable. http://www.gesetze-im-internet.de/bimschv_12_2000/anhang_i_30.html</w:t>
            </w:r>
          </w:p>
        </w:tc>
        <w:tc>
          <w:tcPr>
            <w:tcW w:w="0" w:type="auto"/>
            <w:noWrap/>
            <w:vAlign w:val="center"/>
          </w:tcPr>
          <w:p w:rsidR="00365F48" w:rsidRPr="00144EC1" w:rsidRDefault="00365F48" w:rsidP="002101E5">
            <w:pPr>
              <w:jc w:val="center"/>
              <w:rPr>
                <w:rFonts w:ascii="Calibri" w:hAnsi="Calibri" w:cs="Calibri"/>
                <w:color w:val="000000"/>
                <w:lang w:eastAsia="en-GB"/>
              </w:rPr>
            </w:pPr>
            <w:r w:rsidRPr="00144EC1">
              <w:rPr>
                <w:rFonts w:ascii="Calibri" w:hAnsi="Calibri" w:cs="Calibri"/>
                <w:color w:val="000000"/>
                <w:sz w:val="22"/>
                <w:szCs w:val="22"/>
                <w:lang w:eastAsia="en-GB"/>
              </w:rPr>
              <w:t>DE (Cologne)</w:t>
            </w:r>
          </w:p>
        </w:tc>
      </w:tr>
      <w:tr w:rsidR="00365F48" w:rsidRPr="00144EC1" w:rsidTr="004F0E1F">
        <w:trPr>
          <w:trHeight w:val="690"/>
          <w:tblHeader/>
        </w:trPr>
        <w:tc>
          <w:tcPr>
            <w:tcW w:w="0" w:type="auto"/>
          </w:tcPr>
          <w:p w:rsidR="00365F48" w:rsidRPr="00144EC1" w:rsidRDefault="00365F48" w:rsidP="002101E5">
            <w:pPr>
              <w:rPr>
                <w:rFonts w:ascii="Calibri" w:hAnsi="Calibri" w:cs="Calibri"/>
                <w:color w:val="000000"/>
                <w:lang w:val="it-IT" w:eastAsia="en-GB"/>
              </w:rPr>
            </w:pPr>
            <w:r w:rsidRPr="00144EC1">
              <w:rPr>
                <w:rFonts w:ascii="Calibri" w:hAnsi="Calibri" w:cs="Calibri"/>
                <w:color w:val="000000"/>
                <w:sz w:val="22"/>
                <w:szCs w:val="22"/>
                <w:lang w:val="it-IT" w:eastAsia="en-GB"/>
              </w:rPr>
              <w:t>Decreto del Ministero (DM) dell’interno 31 agosto 2006 (Ministerial Decree of 31 August 2006)</w:t>
            </w:r>
          </w:p>
        </w:tc>
        <w:tc>
          <w:tcPr>
            <w:tcW w:w="0" w:type="auto"/>
            <w:noWrap/>
            <w:vAlign w:val="center"/>
          </w:tcPr>
          <w:p w:rsidR="00365F48" w:rsidRPr="00144EC1" w:rsidRDefault="00365F48" w:rsidP="002101E5">
            <w:pPr>
              <w:jc w:val="center"/>
              <w:rPr>
                <w:rFonts w:ascii="Calibri" w:hAnsi="Calibri" w:cs="Calibri"/>
                <w:color w:val="000000"/>
                <w:lang w:eastAsia="en-GB"/>
              </w:rPr>
            </w:pPr>
            <w:r>
              <w:rPr>
                <w:rFonts w:ascii="Calibri" w:hAnsi="Calibri" w:cs="Calibri"/>
                <w:color w:val="000000"/>
                <w:sz w:val="22"/>
                <w:szCs w:val="22"/>
                <w:lang w:val="it-IT" w:eastAsia="en-GB"/>
              </w:rPr>
              <w:t xml:space="preserve">IT </w:t>
            </w:r>
            <w:r w:rsidRPr="00144EC1">
              <w:rPr>
                <w:rFonts w:ascii="Calibri" w:hAnsi="Calibri" w:cs="Calibri"/>
                <w:color w:val="000000"/>
                <w:sz w:val="22"/>
                <w:szCs w:val="22"/>
                <w:lang w:eastAsia="en-GB"/>
              </w:rPr>
              <w:t>(Bolzano)</w:t>
            </w:r>
          </w:p>
        </w:tc>
      </w:tr>
      <w:tr w:rsidR="00365F48" w:rsidRPr="00144EC1" w:rsidTr="004F0E1F">
        <w:trPr>
          <w:trHeight w:val="1650"/>
          <w:tblHeader/>
        </w:trPr>
        <w:tc>
          <w:tcPr>
            <w:tcW w:w="0" w:type="auto"/>
          </w:tcPr>
          <w:p w:rsidR="00365F48" w:rsidRPr="00144EC1"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lastRenderedPageBreak/>
              <w:t>Administrative laws: public contracts discipline D. LGS. 163/2006, public contracts code DPR 207/2010, work safety law D. LGS. 81/08</w:t>
            </w:r>
            <w:r w:rsidRPr="00144EC1">
              <w:rPr>
                <w:rFonts w:ascii="Calibri" w:hAnsi="Calibri" w:cs="Calibri"/>
                <w:color w:val="000000"/>
                <w:sz w:val="22"/>
                <w:szCs w:val="22"/>
                <w:lang w:eastAsia="en-GB"/>
              </w:rPr>
              <w:br/>
            </w:r>
            <w:r w:rsidRPr="00144EC1">
              <w:rPr>
                <w:rFonts w:ascii="Calibri" w:hAnsi="Calibri" w:cs="Calibri"/>
                <w:color w:val="000000"/>
                <w:sz w:val="22"/>
                <w:szCs w:val="22"/>
                <w:lang w:eastAsia="en-GB"/>
              </w:rPr>
              <w:br/>
              <w:t>Approving laws: fire prevention DM 31/8/06, building local rules (Piano di Governo del Territorio), hygiene and environmental rules</w:t>
            </w:r>
            <w:r>
              <w:rPr>
                <w:rFonts w:ascii="Calibri" w:hAnsi="Calibri" w:cs="Calibri"/>
                <w:color w:val="000000"/>
                <w:sz w:val="22"/>
                <w:szCs w:val="22"/>
                <w:lang w:eastAsia="en-GB"/>
              </w:rPr>
              <w:t>.</w:t>
            </w:r>
          </w:p>
        </w:tc>
        <w:tc>
          <w:tcPr>
            <w:tcW w:w="0" w:type="auto"/>
            <w:noWrap/>
            <w:vAlign w:val="center"/>
          </w:tcPr>
          <w:p w:rsidR="00365F48" w:rsidRPr="00144EC1" w:rsidRDefault="00365F48" w:rsidP="002101E5">
            <w:pPr>
              <w:jc w:val="center"/>
              <w:rPr>
                <w:rFonts w:ascii="Calibri" w:hAnsi="Calibri" w:cs="Calibri"/>
                <w:color w:val="000000"/>
                <w:lang w:eastAsia="en-GB"/>
              </w:rPr>
            </w:pPr>
            <w:r>
              <w:rPr>
                <w:rFonts w:ascii="Calibri" w:hAnsi="Calibri" w:cs="Calibri"/>
                <w:color w:val="000000"/>
                <w:sz w:val="22"/>
                <w:szCs w:val="22"/>
                <w:lang w:eastAsia="en-GB"/>
              </w:rPr>
              <w:t xml:space="preserve">IT </w:t>
            </w:r>
            <w:r w:rsidRPr="00144EC1">
              <w:rPr>
                <w:rFonts w:ascii="Calibri" w:hAnsi="Calibri" w:cs="Calibri"/>
                <w:color w:val="000000"/>
                <w:sz w:val="22"/>
                <w:szCs w:val="22"/>
                <w:lang w:eastAsia="en-GB"/>
              </w:rPr>
              <w:t>(Milan)</w:t>
            </w:r>
          </w:p>
        </w:tc>
      </w:tr>
      <w:tr w:rsidR="00365F48" w:rsidRPr="00144EC1" w:rsidTr="004F0E1F">
        <w:trPr>
          <w:trHeight w:val="1185"/>
          <w:tblHeader/>
        </w:trPr>
        <w:tc>
          <w:tcPr>
            <w:tcW w:w="0" w:type="auto"/>
          </w:tcPr>
          <w:p w:rsidR="00365F48"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t xml:space="preserve">Plan og byggningsloven” (law on building permits </w:t>
            </w:r>
          </w:p>
          <w:p w:rsidR="00365F48" w:rsidRPr="00144EC1"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t xml:space="preserve"> “Brann og eksplosjonsvernsloven” with further</w:t>
            </w:r>
            <w:r w:rsidRPr="00144EC1">
              <w:rPr>
                <w:rFonts w:ascii="Calibri" w:hAnsi="Calibri" w:cs="Calibri"/>
                <w:color w:val="000000"/>
                <w:sz w:val="22"/>
                <w:szCs w:val="22"/>
                <w:lang w:eastAsia="en-GB"/>
              </w:rPr>
              <w:br/>
              <w:t xml:space="preserve">Regulations (law on fire and safety measurements)  </w:t>
            </w:r>
          </w:p>
        </w:tc>
        <w:tc>
          <w:tcPr>
            <w:tcW w:w="0" w:type="auto"/>
            <w:noWrap/>
            <w:vAlign w:val="center"/>
          </w:tcPr>
          <w:p w:rsidR="00365F48" w:rsidRPr="00144EC1" w:rsidRDefault="00365F48" w:rsidP="002101E5">
            <w:pPr>
              <w:jc w:val="center"/>
              <w:rPr>
                <w:rFonts w:ascii="Calibri" w:hAnsi="Calibri" w:cs="Calibri"/>
                <w:color w:val="000000"/>
                <w:lang w:eastAsia="en-GB"/>
              </w:rPr>
            </w:pPr>
            <w:r w:rsidRPr="00144EC1">
              <w:rPr>
                <w:rFonts w:ascii="Calibri" w:hAnsi="Calibri" w:cs="Calibri"/>
                <w:color w:val="000000"/>
                <w:sz w:val="22"/>
                <w:szCs w:val="22"/>
                <w:lang w:eastAsia="en-GB"/>
              </w:rPr>
              <w:t>NO (Oslo)</w:t>
            </w:r>
          </w:p>
        </w:tc>
      </w:tr>
      <w:tr w:rsidR="00365F48" w:rsidRPr="00144EC1" w:rsidTr="004F0E1F">
        <w:trPr>
          <w:trHeight w:val="405"/>
          <w:tblHeader/>
        </w:trPr>
        <w:tc>
          <w:tcPr>
            <w:tcW w:w="0" w:type="auto"/>
            <w:noWrap/>
          </w:tcPr>
          <w:p w:rsidR="00365F48" w:rsidRPr="00144EC1"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t xml:space="preserve">Control of Major Accident and Hazards (COMAH) regulations. </w:t>
            </w:r>
          </w:p>
        </w:tc>
        <w:tc>
          <w:tcPr>
            <w:tcW w:w="0" w:type="auto"/>
            <w:noWrap/>
            <w:vAlign w:val="center"/>
          </w:tcPr>
          <w:p w:rsidR="00365F48" w:rsidRPr="00144EC1" w:rsidRDefault="00365F48" w:rsidP="002101E5">
            <w:pPr>
              <w:jc w:val="center"/>
              <w:rPr>
                <w:rFonts w:ascii="Calibri" w:hAnsi="Calibri" w:cs="Calibri"/>
                <w:color w:val="000000"/>
                <w:lang w:eastAsia="en-GB"/>
              </w:rPr>
            </w:pPr>
            <w:r w:rsidRPr="00144EC1">
              <w:rPr>
                <w:rFonts w:ascii="Calibri" w:hAnsi="Calibri" w:cs="Calibri"/>
                <w:color w:val="000000"/>
                <w:sz w:val="22"/>
                <w:szCs w:val="22"/>
                <w:lang w:eastAsia="en-GB"/>
              </w:rPr>
              <w:t>UK (London)</w:t>
            </w:r>
          </w:p>
        </w:tc>
      </w:tr>
      <w:tr w:rsidR="00365F48" w:rsidRPr="00144EC1" w:rsidTr="004F0E1F">
        <w:trPr>
          <w:trHeight w:val="330"/>
          <w:tblHeader/>
        </w:trPr>
        <w:tc>
          <w:tcPr>
            <w:tcW w:w="0" w:type="auto"/>
            <w:noWrap/>
          </w:tcPr>
          <w:p w:rsidR="00365F48" w:rsidRPr="00365F48" w:rsidRDefault="00003CF6" w:rsidP="002101E5">
            <w:pPr>
              <w:rPr>
                <w:rFonts w:ascii="Calibri" w:hAnsi="Calibri" w:cs="Calibri"/>
                <w:color w:val="000000"/>
                <w:lang w:val="de-DE" w:eastAsia="en-GB"/>
              </w:rPr>
            </w:pPr>
            <w:r w:rsidRPr="00003CF6">
              <w:rPr>
                <w:rFonts w:ascii="Calibri" w:hAnsi="Calibri" w:cs="Calibri"/>
                <w:color w:val="000000"/>
                <w:sz w:val="22"/>
                <w:szCs w:val="22"/>
                <w:lang w:val="de-DE" w:eastAsia="en-GB"/>
              </w:rPr>
              <w:t>EKAS - Eidgenössische Koordinationskommission für - Suva Arbeitssicherheit (job safty)</w:t>
            </w:r>
          </w:p>
        </w:tc>
        <w:tc>
          <w:tcPr>
            <w:tcW w:w="0" w:type="auto"/>
            <w:vMerge w:val="restart"/>
            <w:noWrap/>
            <w:vAlign w:val="center"/>
          </w:tcPr>
          <w:p w:rsidR="00365F48" w:rsidRPr="00144EC1" w:rsidRDefault="00365F48" w:rsidP="002101E5">
            <w:pPr>
              <w:jc w:val="center"/>
              <w:rPr>
                <w:rFonts w:ascii="Calibri" w:hAnsi="Calibri" w:cs="Calibri"/>
                <w:color w:val="000000"/>
                <w:lang w:eastAsia="en-GB"/>
              </w:rPr>
            </w:pPr>
            <w:r w:rsidRPr="00144EC1">
              <w:rPr>
                <w:rFonts w:ascii="Calibri" w:hAnsi="Calibri" w:cs="Calibri"/>
                <w:color w:val="000000"/>
                <w:sz w:val="22"/>
                <w:szCs w:val="22"/>
                <w:lang w:eastAsia="en-GB"/>
              </w:rPr>
              <w:t>CH (Aarau)</w:t>
            </w:r>
          </w:p>
        </w:tc>
      </w:tr>
      <w:tr w:rsidR="00365F48" w:rsidRPr="007D0053" w:rsidTr="004F0E1F">
        <w:trPr>
          <w:trHeight w:val="405"/>
          <w:tblHeader/>
        </w:trPr>
        <w:tc>
          <w:tcPr>
            <w:tcW w:w="0" w:type="auto"/>
            <w:noWrap/>
          </w:tcPr>
          <w:p w:rsidR="00365F48" w:rsidRPr="00365F48" w:rsidRDefault="00003CF6" w:rsidP="002101E5">
            <w:pPr>
              <w:rPr>
                <w:rFonts w:ascii="Calibri" w:hAnsi="Calibri" w:cs="Calibri"/>
                <w:color w:val="000000"/>
                <w:sz w:val="22"/>
                <w:szCs w:val="22"/>
                <w:lang w:val="de-DE" w:eastAsia="en-GB"/>
              </w:rPr>
            </w:pPr>
            <w:r w:rsidRPr="00003CF6">
              <w:rPr>
                <w:rFonts w:ascii="Calibri" w:hAnsi="Calibri" w:cs="Calibri"/>
                <w:color w:val="000000"/>
                <w:sz w:val="22"/>
                <w:szCs w:val="22"/>
                <w:lang w:val="de-DE" w:eastAsia="en-GB"/>
              </w:rPr>
              <w:t>Sonderfälle Entwässerung (Art. 12-15 GSchG §20 GSchG)</w:t>
            </w:r>
          </w:p>
        </w:tc>
        <w:tc>
          <w:tcPr>
            <w:tcW w:w="0" w:type="auto"/>
            <w:vMerge/>
            <w:vAlign w:val="center"/>
          </w:tcPr>
          <w:p w:rsidR="00365F48" w:rsidRPr="00365F48" w:rsidRDefault="00365F48" w:rsidP="002101E5">
            <w:pPr>
              <w:jc w:val="center"/>
              <w:rPr>
                <w:rFonts w:ascii="Calibri" w:hAnsi="Calibri" w:cs="Calibri"/>
                <w:color w:val="000000"/>
                <w:sz w:val="22"/>
                <w:szCs w:val="22"/>
                <w:lang w:val="de-DE" w:eastAsia="en-GB"/>
              </w:rPr>
            </w:pPr>
          </w:p>
        </w:tc>
      </w:tr>
      <w:tr w:rsidR="00365F48" w:rsidRPr="00144EC1" w:rsidTr="004F0E1F">
        <w:trPr>
          <w:trHeight w:val="360"/>
          <w:tblHeader/>
        </w:trPr>
        <w:tc>
          <w:tcPr>
            <w:tcW w:w="0" w:type="auto"/>
            <w:noWrap/>
          </w:tcPr>
          <w:p w:rsidR="00365F48" w:rsidRPr="00144EC1"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t>Störfallverordnung</w:t>
            </w:r>
          </w:p>
        </w:tc>
        <w:tc>
          <w:tcPr>
            <w:tcW w:w="0" w:type="auto"/>
            <w:vMerge/>
            <w:vAlign w:val="center"/>
          </w:tcPr>
          <w:p w:rsidR="00365F48" w:rsidRPr="00144EC1" w:rsidRDefault="00365F48" w:rsidP="002101E5">
            <w:pPr>
              <w:jc w:val="center"/>
              <w:rPr>
                <w:rFonts w:ascii="Calibri" w:hAnsi="Calibri" w:cs="Calibri"/>
                <w:color w:val="000000"/>
                <w:lang w:eastAsia="en-GB"/>
              </w:rPr>
            </w:pPr>
          </w:p>
        </w:tc>
      </w:tr>
      <w:tr w:rsidR="00365F48" w:rsidRPr="007D0053" w:rsidTr="00E00D93">
        <w:trPr>
          <w:trHeight w:val="674"/>
          <w:tblHeader/>
        </w:trPr>
        <w:tc>
          <w:tcPr>
            <w:tcW w:w="0" w:type="auto"/>
          </w:tcPr>
          <w:p w:rsidR="00365F48" w:rsidRPr="00365F48" w:rsidRDefault="00003CF6" w:rsidP="002101E5">
            <w:pPr>
              <w:rPr>
                <w:rFonts w:ascii="Calibri" w:hAnsi="Calibri" w:cs="Calibri"/>
                <w:color w:val="000000"/>
                <w:sz w:val="22"/>
                <w:szCs w:val="22"/>
                <w:lang w:val="de-DE" w:eastAsia="en-GB"/>
              </w:rPr>
            </w:pPr>
            <w:r w:rsidRPr="00003CF6">
              <w:rPr>
                <w:rFonts w:ascii="Calibri" w:hAnsi="Calibri" w:cs="Calibri"/>
                <w:color w:val="000000"/>
                <w:sz w:val="22"/>
                <w:szCs w:val="22"/>
                <w:lang w:val="de-DE" w:eastAsia="en-GB"/>
              </w:rPr>
              <w:t>AWA Plangenehmigung und Begutachtung inkl. AWA Beschreibungsformulare (Plan approval and inspection including AWA Description Forms)</w:t>
            </w:r>
          </w:p>
        </w:tc>
        <w:tc>
          <w:tcPr>
            <w:tcW w:w="0" w:type="auto"/>
            <w:vMerge/>
            <w:vAlign w:val="center"/>
          </w:tcPr>
          <w:p w:rsidR="00365F48" w:rsidRPr="00365F48" w:rsidRDefault="00365F48" w:rsidP="002101E5">
            <w:pPr>
              <w:jc w:val="center"/>
              <w:rPr>
                <w:rFonts w:ascii="Calibri" w:hAnsi="Calibri" w:cs="Calibri"/>
                <w:color w:val="000000"/>
                <w:sz w:val="22"/>
                <w:szCs w:val="22"/>
                <w:lang w:val="de-DE" w:eastAsia="en-GB"/>
              </w:rPr>
            </w:pPr>
          </w:p>
        </w:tc>
      </w:tr>
      <w:tr w:rsidR="00365F48" w:rsidRPr="007D0053" w:rsidTr="00E00D93">
        <w:trPr>
          <w:trHeight w:val="386"/>
          <w:tblHeader/>
        </w:trPr>
        <w:tc>
          <w:tcPr>
            <w:tcW w:w="0" w:type="auto"/>
            <w:noWrap/>
          </w:tcPr>
          <w:p w:rsidR="00365F48" w:rsidRPr="00144EC1" w:rsidRDefault="00365F48" w:rsidP="002101E5">
            <w:pPr>
              <w:rPr>
                <w:rFonts w:ascii="Calibri" w:hAnsi="Calibri" w:cs="Calibri"/>
                <w:color w:val="000000"/>
                <w:lang w:val="fr-CA" w:eastAsia="en-GB"/>
              </w:rPr>
            </w:pPr>
            <w:r w:rsidRPr="00144EC1">
              <w:rPr>
                <w:rFonts w:ascii="Calibri" w:hAnsi="Calibri" w:cs="Calibri"/>
                <w:color w:val="000000"/>
                <w:sz w:val="22"/>
                <w:szCs w:val="22"/>
                <w:lang w:val="fr-CA" w:eastAsia="en-GB"/>
              </w:rPr>
              <w:t>ATEX - SUVA 2153, Explosionsschutz (exlposion prevention)</w:t>
            </w:r>
          </w:p>
        </w:tc>
        <w:tc>
          <w:tcPr>
            <w:tcW w:w="0" w:type="auto"/>
            <w:vMerge/>
            <w:vAlign w:val="center"/>
          </w:tcPr>
          <w:p w:rsidR="00365F48" w:rsidRPr="00144EC1" w:rsidRDefault="00365F48" w:rsidP="002101E5">
            <w:pPr>
              <w:jc w:val="center"/>
              <w:rPr>
                <w:rFonts w:ascii="Calibri" w:hAnsi="Calibri" w:cs="Calibri"/>
                <w:color w:val="000000"/>
                <w:lang w:val="fr-CA" w:eastAsia="en-GB"/>
              </w:rPr>
            </w:pPr>
          </w:p>
        </w:tc>
      </w:tr>
      <w:tr w:rsidR="00365F48" w:rsidRPr="00144EC1" w:rsidTr="004F0E1F">
        <w:trPr>
          <w:trHeight w:val="330"/>
          <w:tblHeader/>
        </w:trPr>
        <w:tc>
          <w:tcPr>
            <w:tcW w:w="0" w:type="auto"/>
            <w:noWrap/>
          </w:tcPr>
          <w:p w:rsidR="00365F48" w:rsidRPr="00144EC1" w:rsidRDefault="00365F48" w:rsidP="002101E5">
            <w:pPr>
              <w:rPr>
                <w:rFonts w:ascii="Calibri" w:hAnsi="Calibri" w:cs="Calibri"/>
                <w:color w:val="000000"/>
                <w:lang w:eastAsia="en-GB"/>
              </w:rPr>
            </w:pPr>
            <w:r w:rsidRPr="00144EC1">
              <w:rPr>
                <w:rFonts w:ascii="Calibri" w:hAnsi="Calibri" w:cs="Calibri"/>
                <w:color w:val="000000"/>
                <w:sz w:val="22"/>
                <w:szCs w:val="22"/>
                <w:lang w:eastAsia="en-GB"/>
              </w:rPr>
              <w:t>AGV Brandschutzbewilligung (fire protection)</w:t>
            </w:r>
          </w:p>
        </w:tc>
        <w:tc>
          <w:tcPr>
            <w:tcW w:w="0" w:type="auto"/>
            <w:vMerge/>
            <w:vAlign w:val="center"/>
          </w:tcPr>
          <w:p w:rsidR="00365F48" w:rsidRPr="00144EC1" w:rsidRDefault="00365F48" w:rsidP="002101E5">
            <w:pPr>
              <w:jc w:val="center"/>
              <w:rPr>
                <w:rFonts w:ascii="Calibri" w:hAnsi="Calibri" w:cs="Calibri"/>
                <w:color w:val="000000"/>
                <w:lang w:eastAsia="en-GB"/>
              </w:rPr>
            </w:pPr>
          </w:p>
        </w:tc>
      </w:tr>
    </w:tbl>
    <w:p w:rsidR="00365F48" w:rsidRPr="009B7200" w:rsidRDefault="00365F48" w:rsidP="007B4F87">
      <w:pPr>
        <w:pStyle w:val="Text"/>
        <w:jc w:val="both"/>
        <w:rPr>
          <w:sz w:val="28"/>
          <w:szCs w:val="28"/>
        </w:rPr>
      </w:pPr>
    </w:p>
    <w:p w:rsidR="00365F48" w:rsidRDefault="00365F48" w:rsidP="009931DC">
      <w:pPr>
        <w:pStyle w:val="Heading2"/>
        <w:numPr>
          <w:ilvl w:val="0"/>
          <w:numId w:val="4"/>
        </w:numPr>
      </w:pPr>
      <w:bookmarkStart w:id="44" w:name="_Toc339439405"/>
      <w:r>
        <w:t>Permits required</w:t>
      </w:r>
      <w:bookmarkEnd w:id="44"/>
    </w:p>
    <w:p w:rsidR="00365F48" w:rsidRPr="009931DC" w:rsidRDefault="00365F48" w:rsidP="009931DC">
      <w:pPr>
        <w:pStyle w:val="Text"/>
      </w:pPr>
    </w:p>
    <w:p w:rsidR="00365F48" w:rsidRPr="00213F46" w:rsidRDefault="006A0856" w:rsidP="000C55EF">
      <w:pPr>
        <w:pStyle w:val="Text"/>
        <w:jc w:val="both"/>
      </w:pPr>
      <w:r w:rsidRPr="007E539E">
        <w:t>As explained in chapter 1 (“stakeholders involved in the permitting process”, c.f. p.9), s</w:t>
      </w:r>
      <w:r w:rsidR="00365F48" w:rsidRPr="007E539E">
        <w:t xml:space="preserve">imilar permits are required in Milan and Bolzano, as </w:t>
      </w:r>
      <w:r w:rsidR="003A2AE4" w:rsidRPr="007E539E">
        <w:t xml:space="preserve">building </w:t>
      </w:r>
      <w:r w:rsidR="00365F48" w:rsidRPr="007E539E">
        <w:t>permits have to be provided b</w:t>
      </w:r>
      <w:r w:rsidR="003A2AE4" w:rsidRPr="007E539E">
        <w:t>y the municipality, whereas regional authorities are more responsible for the infrastructure operations</w:t>
      </w:r>
      <w:r w:rsidR="00365F48" w:rsidRPr="007E539E">
        <w:t xml:space="preserve"> (</w:t>
      </w:r>
      <w:r w:rsidR="003A2AE4" w:rsidRPr="007E539E">
        <w:t xml:space="preserve">i.e. </w:t>
      </w:r>
      <w:r w:rsidR="00365F48" w:rsidRPr="007E539E">
        <w:t>fire and safety permits). In Oslo, the municipality is held to issue a permit for the station installation, while official documentation on safety and operation aspects has to be provided to the authority.</w:t>
      </w:r>
    </w:p>
    <w:p w:rsidR="00365F48" w:rsidRDefault="00365F48" w:rsidP="00256F72">
      <w:pPr>
        <w:pStyle w:val="Text"/>
        <w:jc w:val="both"/>
      </w:pPr>
      <w:r w:rsidRPr="00213F46">
        <w:t>The London Borough</w:t>
      </w:r>
      <w:r w:rsidRPr="00213F46">
        <w:rPr>
          <w:rFonts w:ascii="Calibri" w:hAnsi="Calibri" w:cs="Calibri"/>
          <w:color w:val="000000"/>
          <w:lang w:eastAsia="en-GB"/>
        </w:rPr>
        <w:t xml:space="preserve"> </w:t>
      </w:r>
      <w:r w:rsidRPr="00213F46">
        <w:t xml:space="preserve">LB Waltham Forest grants a “Hazardous Substances Consent” to HRS applicants, whereas in Hamburg only one permit procedure is in place (the building permit provided by BSU). All relevant sub-authorities will be contacted by the BSU in this case. Within the BimSchG all relevant directives like the European </w:t>
      </w:r>
      <w:r w:rsidRPr="00213F46">
        <w:lastRenderedPageBreak/>
        <w:t>pressure directive, TA Lärm (noise emission law in Germany), ATEX-check, operation of a filling station and others were also controlled.</w:t>
      </w:r>
    </w:p>
    <w:tbl>
      <w:tblPr>
        <w:tblW w:w="9195" w:type="dxa"/>
        <w:tblInd w:w="93" w:type="dxa"/>
        <w:tblLook w:val="00A0" w:firstRow="1" w:lastRow="0" w:firstColumn="1" w:lastColumn="0" w:noHBand="0" w:noVBand="0"/>
      </w:tblPr>
      <w:tblGrid>
        <w:gridCol w:w="7575"/>
        <w:gridCol w:w="1620"/>
      </w:tblGrid>
      <w:tr w:rsidR="00365F48" w:rsidRPr="000C55EF" w:rsidTr="002101E5">
        <w:trPr>
          <w:trHeight w:val="1455"/>
        </w:trPr>
        <w:tc>
          <w:tcPr>
            <w:tcW w:w="7575" w:type="dxa"/>
            <w:tcBorders>
              <w:top w:val="single" w:sz="12" w:space="0" w:color="auto"/>
              <w:left w:val="single" w:sz="12" w:space="0" w:color="auto"/>
              <w:bottom w:val="single" w:sz="12" w:space="0" w:color="auto"/>
              <w:right w:val="single" w:sz="12" w:space="0" w:color="auto"/>
            </w:tcBorders>
            <w:vAlign w:val="center"/>
          </w:tcPr>
          <w:p w:rsidR="00365F48" w:rsidRPr="000C55EF" w:rsidRDefault="00365F48" w:rsidP="000C55EF">
            <w:pPr>
              <w:rPr>
                <w:rFonts w:ascii="Calibri" w:hAnsi="Calibri" w:cs="Calibri"/>
                <w:color w:val="000000"/>
                <w:lang w:eastAsia="en-GB"/>
              </w:rPr>
            </w:pPr>
            <w:r w:rsidDel="009B2A8D">
              <w:t xml:space="preserve"> </w:t>
            </w:r>
            <w:r w:rsidRPr="000C55EF">
              <w:rPr>
                <w:rFonts w:ascii="Calibri" w:hAnsi="Calibri" w:cs="Calibri"/>
                <w:color w:val="000000"/>
                <w:sz w:val="22"/>
                <w:szCs w:val="22"/>
                <w:lang w:eastAsia="en-GB"/>
              </w:rPr>
              <w:t xml:space="preserve">“Rammetillatelse” (not really a building </w:t>
            </w:r>
            <w:r>
              <w:rPr>
                <w:rFonts w:ascii="Calibri" w:hAnsi="Calibri" w:cs="Calibri"/>
                <w:color w:val="000000"/>
                <w:sz w:val="22"/>
                <w:szCs w:val="22"/>
                <w:lang w:eastAsia="en-GB"/>
              </w:rPr>
              <w:t>permission – but a permission f</w:t>
            </w:r>
            <w:r w:rsidRPr="000C55EF">
              <w:rPr>
                <w:rFonts w:ascii="Calibri" w:hAnsi="Calibri" w:cs="Calibri"/>
                <w:color w:val="000000"/>
                <w:sz w:val="22"/>
                <w:szCs w:val="22"/>
                <w:lang w:eastAsia="en-GB"/>
              </w:rPr>
              <w:t>r</w:t>
            </w:r>
            <w:r>
              <w:rPr>
                <w:rFonts w:ascii="Calibri" w:hAnsi="Calibri" w:cs="Calibri"/>
                <w:color w:val="000000"/>
                <w:sz w:val="22"/>
                <w:szCs w:val="22"/>
                <w:lang w:eastAsia="en-GB"/>
              </w:rPr>
              <w:t>o</w:t>
            </w:r>
            <w:r w:rsidRPr="000C55EF">
              <w:rPr>
                <w:rFonts w:ascii="Calibri" w:hAnsi="Calibri" w:cs="Calibri"/>
                <w:color w:val="000000"/>
                <w:sz w:val="22"/>
                <w:szCs w:val="22"/>
                <w:lang w:eastAsia="en-GB"/>
              </w:rPr>
              <w:t xml:space="preserve">m Oppegård municipality to set up the hydrogen station and the structure around it). In addition one has to give the authorities a formal notice for safety and readiness. </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0C55EF">
            <w:pPr>
              <w:jc w:val="center"/>
              <w:rPr>
                <w:rFonts w:ascii="Calibri" w:hAnsi="Calibri" w:cs="Calibri"/>
                <w:color w:val="000000"/>
                <w:lang w:eastAsia="en-GB"/>
              </w:rPr>
            </w:pPr>
            <w:r w:rsidRPr="000C55EF">
              <w:rPr>
                <w:rFonts w:ascii="Calibri" w:hAnsi="Calibri" w:cs="Calibri"/>
                <w:color w:val="000000"/>
                <w:sz w:val="22"/>
                <w:szCs w:val="22"/>
                <w:lang w:eastAsia="en-GB"/>
              </w:rPr>
              <w:t>NO (Oslo)</w:t>
            </w:r>
          </w:p>
        </w:tc>
      </w:tr>
      <w:tr w:rsidR="00365F48" w:rsidRPr="000C55EF" w:rsidTr="005752A5">
        <w:trPr>
          <w:trHeight w:val="2782"/>
        </w:trPr>
        <w:tc>
          <w:tcPr>
            <w:tcW w:w="7575" w:type="dxa"/>
            <w:tcBorders>
              <w:top w:val="single" w:sz="12" w:space="0" w:color="auto"/>
              <w:left w:val="single" w:sz="12" w:space="0" w:color="auto"/>
              <w:bottom w:val="single" w:sz="12" w:space="0" w:color="auto"/>
              <w:right w:val="single" w:sz="12" w:space="0" w:color="auto"/>
            </w:tcBorders>
            <w:vAlign w:val="center"/>
          </w:tcPr>
          <w:p w:rsidR="00365F48" w:rsidRPr="000C55EF" w:rsidRDefault="00365F48" w:rsidP="000C55EF">
            <w:pPr>
              <w:rPr>
                <w:rFonts w:ascii="Calibri" w:hAnsi="Calibri" w:cs="Calibri"/>
                <w:color w:val="000000"/>
                <w:lang w:eastAsia="en-GB"/>
              </w:rPr>
            </w:pPr>
            <w:r w:rsidRPr="000C55EF">
              <w:rPr>
                <w:rFonts w:ascii="Calibri" w:hAnsi="Calibri" w:cs="Calibri"/>
                <w:color w:val="000000"/>
                <w:sz w:val="22"/>
                <w:szCs w:val="22"/>
                <w:lang w:eastAsia="en-GB"/>
              </w:rPr>
              <w:t>In Hamburg the BSU</w:t>
            </w:r>
            <w:r w:rsidR="005752A5">
              <w:rPr>
                <w:rFonts w:ascii="Calibri" w:hAnsi="Calibri" w:cs="Calibri"/>
                <w:color w:val="000000"/>
                <w:sz w:val="22"/>
                <w:szCs w:val="22"/>
                <w:lang w:eastAsia="en-GB"/>
              </w:rPr>
              <w:t xml:space="preserve"> (regional authority)</w:t>
            </w:r>
            <w:r w:rsidRPr="000C55EF">
              <w:rPr>
                <w:rFonts w:ascii="Calibri" w:hAnsi="Calibri" w:cs="Calibri"/>
                <w:color w:val="000000"/>
                <w:sz w:val="22"/>
                <w:szCs w:val="22"/>
                <w:lang w:eastAsia="en-GB"/>
              </w:rPr>
              <w:t xml:space="preserve"> concentrates </w:t>
            </w:r>
            <w:r w:rsidR="005752A5">
              <w:rPr>
                <w:rFonts w:ascii="Calibri" w:hAnsi="Calibri" w:cs="Calibri"/>
                <w:color w:val="000000"/>
                <w:sz w:val="22"/>
                <w:szCs w:val="22"/>
                <w:lang w:eastAsia="en-GB"/>
              </w:rPr>
              <w:t xml:space="preserve">on </w:t>
            </w:r>
            <w:r w:rsidRPr="000C55EF">
              <w:rPr>
                <w:rFonts w:ascii="Calibri" w:hAnsi="Calibri" w:cs="Calibri"/>
                <w:color w:val="000000"/>
                <w:sz w:val="22"/>
                <w:szCs w:val="22"/>
                <w:lang w:eastAsia="en-GB"/>
              </w:rPr>
              <w:t>the permit procedure in one permit procedure -  the building permit. All relevant sub-authorities will be contacted by the BSU in this case. If you need a</w:t>
            </w:r>
            <w:r>
              <w:rPr>
                <w:rFonts w:ascii="Calibri" w:hAnsi="Calibri" w:cs="Calibri"/>
                <w:color w:val="000000"/>
                <w:sz w:val="22"/>
                <w:szCs w:val="22"/>
                <w:lang w:eastAsia="en-GB"/>
              </w:rPr>
              <w:t>n</w:t>
            </w:r>
            <w:r w:rsidRPr="000C55EF">
              <w:rPr>
                <w:rFonts w:ascii="Calibri" w:hAnsi="Calibri" w:cs="Calibri"/>
                <w:color w:val="000000"/>
                <w:sz w:val="22"/>
                <w:szCs w:val="22"/>
                <w:lang w:eastAsia="en-GB"/>
              </w:rPr>
              <w:t xml:space="preserve"> operation permit this will </w:t>
            </w:r>
            <w:r>
              <w:rPr>
                <w:rFonts w:ascii="Calibri" w:hAnsi="Calibri" w:cs="Calibri"/>
                <w:color w:val="000000"/>
                <w:sz w:val="22"/>
                <w:szCs w:val="22"/>
                <w:lang w:eastAsia="en-GB"/>
              </w:rPr>
              <w:t xml:space="preserve">be </w:t>
            </w:r>
            <w:r w:rsidRPr="000C55EF">
              <w:rPr>
                <w:rFonts w:ascii="Calibri" w:hAnsi="Calibri" w:cs="Calibri"/>
                <w:color w:val="000000"/>
                <w:sz w:val="22"/>
                <w:szCs w:val="22"/>
                <w:lang w:eastAsia="en-GB"/>
              </w:rPr>
              <w:t>integrated into this permit as well. For station HafenCity we needed at least the operational permit according to Betriebssicherheitsverordnung (BetriSiV) and as we are producing via electrolysis on-site also the BimSchG-approval.</w:t>
            </w:r>
            <w:r w:rsidRPr="000C55EF">
              <w:rPr>
                <w:rFonts w:ascii="Calibri" w:hAnsi="Calibri" w:cs="Calibri"/>
                <w:color w:val="000000"/>
                <w:sz w:val="22"/>
                <w:szCs w:val="22"/>
                <w:lang w:eastAsia="en-GB"/>
              </w:rPr>
              <w:br/>
              <w:t>Within the BimSch</w:t>
            </w:r>
            <w:r>
              <w:rPr>
                <w:rFonts w:ascii="Calibri" w:hAnsi="Calibri" w:cs="Calibri"/>
                <w:color w:val="000000"/>
                <w:sz w:val="22"/>
                <w:szCs w:val="22"/>
                <w:lang w:eastAsia="en-GB"/>
              </w:rPr>
              <w:t>G all relevant directives like E</w:t>
            </w:r>
            <w:r w:rsidRPr="000C55EF">
              <w:rPr>
                <w:rFonts w:ascii="Calibri" w:hAnsi="Calibri" w:cs="Calibri"/>
                <w:color w:val="000000"/>
                <w:sz w:val="22"/>
                <w:szCs w:val="22"/>
                <w:lang w:eastAsia="en-GB"/>
              </w:rPr>
              <w:t xml:space="preserve">uropean pressure directive, TA Lärm (noise emission law in Germany), ATEX-check, operation of a filling station etc were checked. </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0C55EF">
            <w:pPr>
              <w:jc w:val="center"/>
              <w:rPr>
                <w:rFonts w:ascii="Calibri" w:hAnsi="Calibri" w:cs="Calibri"/>
                <w:color w:val="000000"/>
                <w:lang w:eastAsia="en-GB"/>
              </w:rPr>
            </w:pPr>
            <w:r w:rsidRPr="000C55EF">
              <w:rPr>
                <w:rFonts w:ascii="Calibri" w:hAnsi="Calibri" w:cs="Calibri"/>
                <w:color w:val="000000"/>
                <w:sz w:val="22"/>
                <w:szCs w:val="22"/>
                <w:lang w:eastAsia="en-GB"/>
              </w:rPr>
              <w:t>DE (Hamburg)</w:t>
            </w:r>
          </w:p>
        </w:tc>
      </w:tr>
      <w:tr w:rsidR="00365F48" w:rsidRPr="000C55EF" w:rsidTr="002101E5">
        <w:trPr>
          <w:trHeight w:val="506"/>
        </w:trPr>
        <w:tc>
          <w:tcPr>
            <w:tcW w:w="7575" w:type="dxa"/>
            <w:tcBorders>
              <w:top w:val="single" w:sz="12" w:space="0" w:color="auto"/>
              <w:left w:val="single" w:sz="12" w:space="0" w:color="auto"/>
              <w:bottom w:val="single" w:sz="12" w:space="0" w:color="auto"/>
              <w:right w:val="single" w:sz="12" w:space="0" w:color="auto"/>
            </w:tcBorders>
            <w:vAlign w:val="center"/>
          </w:tcPr>
          <w:p w:rsidR="00365F48" w:rsidRPr="000C55EF" w:rsidRDefault="00365F48" w:rsidP="000C55EF">
            <w:pPr>
              <w:spacing w:after="240"/>
              <w:rPr>
                <w:rFonts w:ascii="Calibri" w:hAnsi="Calibri" w:cs="Calibri"/>
                <w:color w:val="000000"/>
                <w:lang w:eastAsia="en-GB"/>
              </w:rPr>
            </w:pPr>
            <w:r w:rsidRPr="000C55EF">
              <w:rPr>
                <w:rFonts w:ascii="Calibri" w:hAnsi="Calibri" w:cs="Calibri"/>
                <w:color w:val="000000"/>
                <w:sz w:val="22"/>
                <w:szCs w:val="22"/>
                <w:lang w:eastAsia="en-GB"/>
              </w:rPr>
              <w:t>Planning permission (granted by LB Waltham Forest)</w:t>
            </w:r>
            <w:r>
              <w:rPr>
                <w:rFonts w:ascii="Calibri" w:hAnsi="Calibri" w:cs="Calibri"/>
                <w:color w:val="000000"/>
                <w:sz w:val="22"/>
                <w:szCs w:val="22"/>
                <w:lang w:eastAsia="en-GB"/>
              </w:rPr>
              <w:t xml:space="preserve"> </w:t>
            </w:r>
            <w:r w:rsidRPr="000C55EF">
              <w:rPr>
                <w:rFonts w:ascii="Calibri" w:hAnsi="Calibri" w:cs="Calibri"/>
                <w:color w:val="000000"/>
                <w:sz w:val="22"/>
                <w:szCs w:val="22"/>
                <w:lang w:eastAsia="en-GB"/>
              </w:rPr>
              <w:t>Hazardous Substances Consent</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0C55EF">
            <w:pPr>
              <w:jc w:val="center"/>
              <w:rPr>
                <w:rFonts w:ascii="Calibri" w:hAnsi="Calibri" w:cs="Calibri"/>
                <w:color w:val="000000"/>
                <w:lang w:eastAsia="en-GB"/>
              </w:rPr>
            </w:pPr>
            <w:r w:rsidRPr="000C55EF">
              <w:rPr>
                <w:rFonts w:ascii="Calibri" w:hAnsi="Calibri" w:cs="Calibri"/>
                <w:color w:val="000000"/>
                <w:sz w:val="22"/>
                <w:szCs w:val="22"/>
                <w:lang w:eastAsia="en-GB"/>
              </w:rPr>
              <w:t>UK (London)</w:t>
            </w:r>
          </w:p>
        </w:tc>
      </w:tr>
      <w:tr w:rsidR="00365F48" w:rsidRPr="000C55EF" w:rsidTr="002101E5">
        <w:trPr>
          <w:trHeight w:val="465"/>
        </w:trPr>
        <w:tc>
          <w:tcPr>
            <w:tcW w:w="7575" w:type="dxa"/>
            <w:vMerge w:val="restart"/>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6A0856">
            <w:pPr>
              <w:jc w:val="center"/>
              <w:rPr>
                <w:rFonts w:ascii="Calibri" w:hAnsi="Calibri" w:cs="Calibri"/>
                <w:color w:val="000000"/>
                <w:lang w:eastAsia="en-GB"/>
              </w:rPr>
            </w:pPr>
            <w:r>
              <w:rPr>
                <w:rFonts w:ascii="Calibri" w:hAnsi="Calibri" w:cs="Calibri"/>
                <w:color w:val="000000"/>
                <w:sz w:val="22"/>
                <w:szCs w:val="22"/>
                <w:lang w:eastAsia="en-GB"/>
              </w:rPr>
              <w:t xml:space="preserve">See </w:t>
            </w:r>
            <w:r w:rsidR="006A0856">
              <w:rPr>
                <w:rFonts w:ascii="Calibri" w:hAnsi="Calibri" w:cs="Calibri"/>
                <w:color w:val="000000"/>
                <w:sz w:val="22"/>
                <w:szCs w:val="22"/>
                <w:lang w:eastAsia="en-GB"/>
              </w:rPr>
              <w:t>tables 1 and 2</w:t>
            </w:r>
          </w:p>
        </w:tc>
        <w:tc>
          <w:tcPr>
            <w:tcW w:w="1620" w:type="dxa"/>
            <w:vMerge w:val="restart"/>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0C55EF">
            <w:pPr>
              <w:jc w:val="center"/>
              <w:rPr>
                <w:rFonts w:ascii="Calibri" w:hAnsi="Calibri" w:cs="Calibri"/>
                <w:color w:val="000000"/>
                <w:lang w:eastAsia="en-GB"/>
              </w:rPr>
            </w:pPr>
            <w:r w:rsidRPr="000C55EF">
              <w:rPr>
                <w:rFonts w:ascii="Calibri" w:hAnsi="Calibri" w:cs="Calibri"/>
                <w:color w:val="000000"/>
                <w:sz w:val="22"/>
                <w:szCs w:val="22"/>
                <w:lang w:eastAsia="en-GB"/>
              </w:rPr>
              <w:t>CH (Aarau)</w:t>
            </w:r>
          </w:p>
        </w:tc>
      </w:tr>
      <w:tr w:rsidR="00365F48" w:rsidRPr="000C55EF" w:rsidTr="006A0856">
        <w:trPr>
          <w:trHeight w:val="293"/>
        </w:trPr>
        <w:tc>
          <w:tcPr>
            <w:tcW w:w="7575" w:type="dxa"/>
            <w:vMerge/>
            <w:tcBorders>
              <w:top w:val="single" w:sz="12" w:space="0" w:color="auto"/>
              <w:left w:val="single" w:sz="12" w:space="0" w:color="auto"/>
              <w:bottom w:val="single" w:sz="12" w:space="0" w:color="auto"/>
              <w:right w:val="single" w:sz="12" w:space="0" w:color="auto"/>
            </w:tcBorders>
            <w:vAlign w:val="center"/>
          </w:tcPr>
          <w:p w:rsidR="00365F48" w:rsidRPr="000C55EF" w:rsidRDefault="00365F48" w:rsidP="000C55EF">
            <w:pPr>
              <w:rPr>
                <w:rFonts w:ascii="Calibri" w:hAnsi="Calibri" w:cs="Calibri"/>
                <w:color w:val="000000"/>
                <w:lang w:eastAsia="en-GB"/>
              </w:rPr>
            </w:pPr>
          </w:p>
        </w:tc>
        <w:tc>
          <w:tcPr>
            <w:tcW w:w="1620" w:type="dxa"/>
            <w:vMerge/>
            <w:tcBorders>
              <w:top w:val="single" w:sz="12" w:space="0" w:color="auto"/>
              <w:left w:val="single" w:sz="12" w:space="0" w:color="auto"/>
              <w:bottom w:val="single" w:sz="12" w:space="0" w:color="auto"/>
              <w:right w:val="single" w:sz="12" w:space="0" w:color="auto"/>
            </w:tcBorders>
            <w:vAlign w:val="center"/>
          </w:tcPr>
          <w:p w:rsidR="00365F48" w:rsidRPr="000C55EF" w:rsidRDefault="00365F48" w:rsidP="000C55EF">
            <w:pPr>
              <w:rPr>
                <w:rFonts w:ascii="Calibri" w:hAnsi="Calibri" w:cs="Calibri"/>
                <w:color w:val="000000"/>
                <w:lang w:eastAsia="en-GB"/>
              </w:rPr>
            </w:pPr>
          </w:p>
        </w:tc>
      </w:tr>
      <w:tr w:rsidR="00365F48" w:rsidRPr="000C55EF" w:rsidTr="003A2AE4">
        <w:trPr>
          <w:trHeight w:val="441"/>
        </w:trPr>
        <w:tc>
          <w:tcPr>
            <w:tcW w:w="7575" w:type="dxa"/>
            <w:tcBorders>
              <w:top w:val="single" w:sz="12" w:space="0" w:color="auto"/>
              <w:left w:val="single" w:sz="12" w:space="0" w:color="auto"/>
              <w:bottom w:val="single" w:sz="12" w:space="0" w:color="auto"/>
              <w:right w:val="single" w:sz="12" w:space="0" w:color="auto"/>
            </w:tcBorders>
            <w:noWrap/>
            <w:vAlign w:val="bottom"/>
          </w:tcPr>
          <w:p w:rsidR="00365F48" w:rsidRPr="006A0856" w:rsidRDefault="006A0856" w:rsidP="003A2AE4">
            <w:pPr>
              <w:jc w:val="center"/>
              <w:rPr>
                <w:rFonts w:ascii="Calibri" w:hAnsi="Calibri" w:cs="Calibri"/>
                <w:b/>
                <w:color w:val="000000"/>
                <w:lang w:eastAsia="en-GB"/>
              </w:rPr>
            </w:pPr>
            <w:r>
              <w:rPr>
                <w:rFonts w:ascii="Calibri" w:hAnsi="Calibri" w:cs="Calibri"/>
                <w:color w:val="000000"/>
                <w:sz w:val="22"/>
                <w:szCs w:val="22"/>
                <w:lang w:eastAsia="en-GB"/>
              </w:rPr>
              <w:t>See tables 1 and 2</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0C55EF">
            <w:pPr>
              <w:jc w:val="center"/>
              <w:rPr>
                <w:rFonts w:ascii="Calibri" w:hAnsi="Calibri" w:cs="Calibri"/>
                <w:color w:val="000000"/>
                <w:lang w:eastAsia="en-GB"/>
              </w:rPr>
            </w:pPr>
            <w:r w:rsidRPr="000C55EF">
              <w:rPr>
                <w:rFonts w:ascii="Calibri" w:hAnsi="Calibri" w:cs="Calibri"/>
                <w:color w:val="000000"/>
                <w:sz w:val="22"/>
                <w:szCs w:val="22"/>
                <w:lang w:eastAsia="en-GB"/>
              </w:rPr>
              <w:t>IT (Milan)</w:t>
            </w:r>
          </w:p>
        </w:tc>
      </w:tr>
      <w:tr w:rsidR="00365F48" w:rsidRPr="000C55EF" w:rsidTr="002101E5">
        <w:trPr>
          <w:trHeight w:val="1260"/>
        </w:trPr>
        <w:tc>
          <w:tcPr>
            <w:tcW w:w="7575" w:type="dxa"/>
            <w:tcBorders>
              <w:top w:val="single" w:sz="12" w:space="0" w:color="auto"/>
              <w:left w:val="single" w:sz="12" w:space="0" w:color="auto"/>
              <w:bottom w:val="single" w:sz="12" w:space="0" w:color="auto"/>
              <w:right w:val="single" w:sz="12" w:space="0" w:color="auto"/>
            </w:tcBorders>
            <w:vAlign w:val="center"/>
          </w:tcPr>
          <w:p w:rsidR="00365F48" w:rsidRPr="000C55EF" w:rsidRDefault="00365F48" w:rsidP="000C55EF">
            <w:pPr>
              <w:spacing w:after="240"/>
              <w:rPr>
                <w:rFonts w:ascii="Calibri" w:hAnsi="Calibri" w:cs="Calibri"/>
                <w:color w:val="000000"/>
                <w:lang w:eastAsia="en-GB"/>
              </w:rPr>
            </w:pPr>
            <w:r w:rsidRPr="000C55EF">
              <w:rPr>
                <w:rFonts w:ascii="Calibri" w:hAnsi="Calibri" w:cs="Calibri"/>
                <w:color w:val="000000"/>
                <w:sz w:val="22"/>
                <w:szCs w:val="22"/>
                <w:lang w:eastAsia="en-GB"/>
              </w:rPr>
              <w:t>Building permits: Conferences of the Services of the municipality of Bolzano</w:t>
            </w:r>
            <w:r w:rsidRPr="000C55EF">
              <w:rPr>
                <w:rFonts w:ascii="Calibri" w:hAnsi="Calibri" w:cs="Calibri"/>
                <w:color w:val="000000"/>
                <w:sz w:val="22"/>
                <w:szCs w:val="22"/>
                <w:lang w:eastAsia="en-GB"/>
              </w:rPr>
              <w:br/>
              <w:t>Environmental permit: Agency of Fire Prevention of the Autonomous Province of Bozen – Südtirol</w:t>
            </w:r>
            <w:r w:rsidRPr="000C55EF">
              <w:rPr>
                <w:rFonts w:ascii="Calibri" w:hAnsi="Calibri" w:cs="Calibri"/>
                <w:color w:val="000000"/>
                <w:sz w:val="22"/>
                <w:szCs w:val="22"/>
                <w:lang w:eastAsia="en-GB"/>
              </w:rPr>
              <w:br/>
              <w:t>Operating permit: Office of trade and services of the Autonomous Province of Bozen – Südtirol</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365F48" w:rsidRPr="000C55EF" w:rsidRDefault="00365F48" w:rsidP="000C55EF">
            <w:pPr>
              <w:jc w:val="center"/>
              <w:rPr>
                <w:rFonts w:ascii="Calibri" w:hAnsi="Calibri" w:cs="Calibri"/>
                <w:color w:val="000000"/>
                <w:lang w:eastAsia="en-GB"/>
              </w:rPr>
            </w:pPr>
            <w:r w:rsidRPr="000C55EF">
              <w:rPr>
                <w:rFonts w:ascii="Calibri" w:hAnsi="Calibri" w:cs="Calibri"/>
                <w:color w:val="000000"/>
                <w:sz w:val="22"/>
                <w:szCs w:val="22"/>
                <w:lang w:eastAsia="en-GB"/>
              </w:rPr>
              <w:t>IT (Bolzano)</w:t>
            </w:r>
          </w:p>
        </w:tc>
      </w:tr>
    </w:tbl>
    <w:p w:rsidR="00365F48" w:rsidRDefault="00365F48" w:rsidP="000C55EF">
      <w:pPr>
        <w:pStyle w:val="Text"/>
        <w:jc w:val="both"/>
        <w:rPr>
          <w:sz w:val="28"/>
          <w:szCs w:val="28"/>
        </w:rPr>
      </w:pPr>
    </w:p>
    <w:p w:rsidR="00365F48" w:rsidRDefault="00365F48">
      <w:pPr>
        <w:rPr>
          <w:sz w:val="28"/>
          <w:szCs w:val="28"/>
        </w:rPr>
      </w:pPr>
      <w:r>
        <w:rPr>
          <w:sz w:val="28"/>
          <w:szCs w:val="28"/>
        </w:rPr>
        <w:br w:type="page"/>
      </w:r>
    </w:p>
    <w:p w:rsidR="00365F48" w:rsidRDefault="00365F48" w:rsidP="009931DC">
      <w:pPr>
        <w:pStyle w:val="Heading2"/>
        <w:numPr>
          <w:ilvl w:val="0"/>
          <w:numId w:val="4"/>
        </w:numPr>
      </w:pPr>
      <w:bookmarkStart w:id="45" w:name="_Toc339439406"/>
      <w:r w:rsidRPr="00256F72">
        <w:lastRenderedPageBreak/>
        <w:t>Required information by authorities</w:t>
      </w:r>
      <w:bookmarkEnd w:id="45"/>
    </w:p>
    <w:p w:rsidR="00365F48" w:rsidRPr="009931DC" w:rsidRDefault="00365F48" w:rsidP="009931DC">
      <w:pPr>
        <w:pStyle w:val="Text"/>
      </w:pPr>
    </w:p>
    <w:p w:rsidR="00365F48" w:rsidRPr="00213F46" w:rsidRDefault="00365F48" w:rsidP="00712019">
      <w:pPr>
        <w:pStyle w:val="Text"/>
        <w:jc w:val="both"/>
      </w:pPr>
      <w:r w:rsidRPr="00213F46">
        <w:t>The information required by authorities varies from city to city. Namely, in Oslo detailed information on the hydrogen production and storage as well as the station installation is required. On the other hand, in London, the number of employees and the population in the surrounding area has to be reported. An exhaustive list of information covering safety and plant installation is required in Hamburg.</w:t>
      </w:r>
    </w:p>
    <w:p w:rsidR="00365F48" w:rsidRDefault="00365F48" w:rsidP="00256F72">
      <w:pPr>
        <w:pStyle w:val="Text"/>
      </w:pPr>
    </w:p>
    <w:tbl>
      <w:tblPr>
        <w:tblW w:w="8200"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6560"/>
        <w:gridCol w:w="1640"/>
      </w:tblGrid>
      <w:tr w:rsidR="00365F48" w:rsidRPr="00256F72" w:rsidTr="002101E5">
        <w:trPr>
          <w:trHeight w:val="1275"/>
          <w:jc w:val="center"/>
        </w:trPr>
        <w:tc>
          <w:tcPr>
            <w:tcW w:w="6560" w:type="dxa"/>
            <w:vAlign w:val="center"/>
          </w:tcPr>
          <w:p w:rsidR="00365F48" w:rsidRPr="00256F72" w:rsidRDefault="00365F48" w:rsidP="00256F72">
            <w:pPr>
              <w:rPr>
                <w:rFonts w:ascii="Calibri" w:hAnsi="Calibri" w:cs="Calibri"/>
                <w:color w:val="000000"/>
                <w:lang w:eastAsia="en-GB"/>
              </w:rPr>
            </w:pPr>
            <w:r w:rsidRPr="00256F72">
              <w:rPr>
                <w:rFonts w:ascii="Calibri" w:hAnsi="Calibri" w:cs="Calibri"/>
                <w:color w:val="000000"/>
                <w:sz w:val="22"/>
                <w:szCs w:val="22"/>
                <w:lang w:eastAsia="en-GB"/>
              </w:rPr>
              <w:t>Layout and placement of the station.</w:t>
            </w:r>
            <w:r w:rsidRPr="00256F72">
              <w:rPr>
                <w:rFonts w:ascii="Calibri" w:hAnsi="Calibri" w:cs="Calibri"/>
                <w:color w:val="000000"/>
                <w:sz w:val="22"/>
                <w:szCs w:val="22"/>
                <w:lang w:eastAsia="en-GB"/>
              </w:rPr>
              <w:br/>
              <w:t>How much gas will be produced/ stored.</w:t>
            </w:r>
            <w:r w:rsidRPr="00256F72">
              <w:rPr>
                <w:rFonts w:ascii="Calibri" w:hAnsi="Calibri" w:cs="Calibri"/>
                <w:color w:val="000000"/>
                <w:sz w:val="22"/>
                <w:szCs w:val="22"/>
                <w:lang w:eastAsia="en-GB"/>
              </w:rPr>
              <w:br/>
              <w:t>Information on how one will make sure that the station is safe and in compliance with the Norwegian legislation on safety.</w:t>
            </w:r>
          </w:p>
        </w:tc>
        <w:tc>
          <w:tcPr>
            <w:tcW w:w="1640" w:type="dxa"/>
            <w:noWrap/>
            <w:vAlign w:val="center"/>
          </w:tcPr>
          <w:p w:rsidR="00365F48" w:rsidRPr="00256F72" w:rsidRDefault="00365F48" w:rsidP="00256F72">
            <w:pPr>
              <w:jc w:val="center"/>
              <w:rPr>
                <w:rFonts w:ascii="Calibri" w:hAnsi="Calibri" w:cs="Calibri"/>
                <w:color w:val="000000"/>
                <w:lang w:eastAsia="en-GB"/>
              </w:rPr>
            </w:pPr>
            <w:r w:rsidRPr="00256F72">
              <w:rPr>
                <w:rFonts w:ascii="Calibri" w:hAnsi="Calibri" w:cs="Calibri"/>
                <w:color w:val="000000"/>
                <w:sz w:val="22"/>
                <w:szCs w:val="22"/>
                <w:lang w:eastAsia="en-GB"/>
              </w:rPr>
              <w:t>NO (Oslo)</w:t>
            </w:r>
          </w:p>
        </w:tc>
      </w:tr>
      <w:tr w:rsidR="00365F48" w:rsidRPr="00256F72" w:rsidTr="002101E5">
        <w:trPr>
          <w:trHeight w:val="397"/>
          <w:jc w:val="center"/>
        </w:trPr>
        <w:tc>
          <w:tcPr>
            <w:tcW w:w="6560" w:type="dxa"/>
            <w:vAlign w:val="center"/>
          </w:tcPr>
          <w:p w:rsidR="00365F48" w:rsidRPr="00256F72" w:rsidRDefault="00365F48" w:rsidP="00256F72">
            <w:pPr>
              <w:spacing w:after="240"/>
              <w:rPr>
                <w:rFonts w:ascii="Calibri" w:hAnsi="Calibri" w:cs="Calibri"/>
                <w:color w:val="000000"/>
                <w:lang w:eastAsia="en-GB"/>
              </w:rPr>
            </w:pPr>
            <w:r w:rsidRPr="00256F72">
              <w:rPr>
                <w:rFonts w:ascii="Calibri" w:hAnsi="Calibri" w:cs="Calibri"/>
                <w:color w:val="000000"/>
                <w:sz w:val="22"/>
                <w:szCs w:val="22"/>
                <w:lang w:eastAsia="en-GB"/>
              </w:rPr>
              <w:t>Employees, Population in the surrounding area</w:t>
            </w:r>
          </w:p>
        </w:tc>
        <w:tc>
          <w:tcPr>
            <w:tcW w:w="1640" w:type="dxa"/>
            <w:noWrap/>
            <w:vAlign w:val="center"/>
          </w:tcPr>
          <w:p w:rsidR="00365F48" w:rsidRPr="00256F72" w:rsidRDefault="00365F48" w:rsidP="00256F72">
            <w:pPr>
              <w:jc w:val="center"/>
              <w:rPr>
                <w:rFonts w:ascii="Calibri" w:hAnsi="Calibri" w:cs="Calibri"/>
                <w:color w:val="000000"/>
                <w:lang w:eastAsia="en-GB"/>
              </w:rPr>
            </w:pPr>
            <w:r w:rsidRPr="00256F72">
              <w:rPr>
                <w:rFonts w:ascii="Calibri" w:hAnsi="Calibri" w:cs="Calibri"/>
                <w:color w:val="000000"/>
                <w:sz w:val="22"/>
                <w:szCs w:val="22"/>
                <w:lang w:eastAsia="en-GB"/>
              </w:rPr>
              <w:t>UK (London)</w:t>
            </w:r>
          </w:p>
        </w:tc>
      </w:tr>
      <w:tr w:rsidR="00365F48" w:rsidRPr="00256F72" w:rsidTr="002101E5">
        <w:trPr>
          <w:trHeight w:val="437"/>
          <w:jc w:val="center"/>
        </w:trPr>
        <w:tc>
          <w:tcPr>
            <w:tcW w:w="6560" w:type="dxa"/>
            <w:vAlign w:val="center"/>
          </w:tcPr>
          <w:p w:rsidR="00365F48" w:rsidRPr="00256F72" w:rsidRDefault="00365F48" w:rsidP="00E870A2">
            <w:pPr>
              <w:spacing w:after="240"/>
              <w:rPr>
                <w:rFonts w:ascii="Calibri" w:hAnsi="Calibri" w:cs="Calibri"/>
                <w:color w:val="000000"/>
                <w:lang w:eastAsia="en-GB"/>
              </w:rPr>
            </w:pPr>
            <w:r>
              <w:rPr>
                <w:rFonts w:ascii="Calibri" w:hAnsi="Calibri" w:cs="Calibri"/>
                <w:color w:val="000000"/>
                <w:sz w:val="22"/>
                <w:szCs w:val="22"/>
                <w:lang w:eastAsia="en-GB"/>
              </w:rPr>
              <w:t>D</w:t>
            </w:r>
            <w:r w:rsidRPr="00256F72">
              <w:rPr>
                <w:rFonts w:ascii="Calibri" w:hAnsi="Calibri" w:cs="Calibri"/>
                <w:color w:val="000000"/>
                <w:sz w:val="22"/>
                <w:szCs w:val="22"/>
                <w:lang w:eastAsia="en-GB"/>
              </w:rPr>
              <w:t>epending on approval procedure. In case of BimSchG:</w:t>
            </w:r>
            <w:r w:rsidRPr="00256F72">
              <w:rPr>
                <w:rFonts w:ascii="Calibri" w:hAnsi="Calibri" w:cs="Calibri"/>
                <w:color w:val="000000"/>
                <w:sz w:val="22"/>
                <w:szCs w:val="22"/>
                <w:lang w:eastAsia="en-GB"/>
              </w:rPr>
              <w:br/>
              <w:t>Description of operational organisation.</w:t>
            </w:r>
            <w:r w:rsidRPr="00256F72">
              <w:rPr>
                <w:rFonts w:ascii="Calibri" w:hAnsi="Calibri" w:cs="Calibri"/>
                <w:color w:val="000000"/>
                <w:sz w:val="22"/>
                <w:szCs w:val="22"/>
                <w:lang w:eastAsia="en-GB"/>
              </w:rPr>
              <w:br/>
              <w:t>Technical drawings of station</w:t>
            </w:r>
            <w:r w:rsidRPr="00256F72">
              <w:rPr>
                <w:rFonts w:ascii="Calibri" w:hAnsi="Calibri" w:cs="Calibri"/>
                <w:color w:val="000000"/>
                <w:sz w:val="22"/>
                <w:szCs w:val="22"/>
                <w:lang w:eastAsia="en-GB"/>
              </w:rPr>
              <w:br/>
              <w:t>Wrap up of safety installations</w:t>
            </w:r>
            <w:r w:rsidRPr="00256F72">
              <w:rPr>
                <w:rFonts w:ascii="Calibri" w:hAnsi="Calibri" w:cs="Calibri"/>
                <w:color w:val="000000"/>
                <w:sz w:val="22"/>
                <w:szCs w:val="22"/>
                <w:lang w:eastAsia="en-GB"/>
              </w:rPr>
              <w:br/>
              <w:t>Foot print demand</w:t>
            </w:r>
            <w:r w:rsidRPr="00256F72">
              <w:rPr>
                <w:rFonts w:ascii="Calibri" w:hAnsi="Calibri" w:cs="Calibri"/>
                <w:color w:val="000000"/>
                <w:sz w:val="22"/>
                <w:szCs w:val="22"/>
                <w:lang w:eastAsia="en-GB"/>
              </w:rPr>
              <w:br/>
              <w:t>Area plans</w:t>
            </w:r>
            <w:r w:rsidRPr="00256F72">
              <w:rPr>
                <w:rFonts w:ascii="Calibri" w:hAnsi="Calibri" w:cs="Calibri"/>
                <w:color w:val="000000"/>
                <w:sz w:val="22"/>
                <w:szCs w:val="22"/>
                <w:lang w:eastAsia="en-GB"/>
              </w:rPr>
              <w:br/>
              <w:t>Description of building</w:t>
            </w:r>
            <w:r w:rsidRPr="00256F72">
              <w:rPr>
                <w:rFonts w:ascii="Calibri" w:hAnsi="Calibri" w:cs="Calibri"/>
                <w:color w:val="000000"/>
                <w:sz w:val="22"/>
                <w:szCs w:val="22"/>
                <w:lang w:eastAsia="en-GB"/>
              </w:rPr>
              <w:br/>
              <w:t>Description of Waste water system</w:t>
            </w:r>
            <w:r w:rsidRPr="00256F72">
              <w:rPr>
                <w:rFonts w:ascii="Calibri" w:hAnsi="Calibri" w:cs="Calibri"/>
                <w:color w:val="000000"/>
                <w:sz w:val="22"/>
                <w:szCs w:val="22"/>
                <w:lang w:eastAsia="en-GB"/>
              </w:rPr>
              <w:br/>
              <w:t>Description of rain water system</w:t>
            </w:r>
            <w:r w:rsidRPr="00256F72">
              <w:rPr>
                <w:rFonts w:ascii="Calibri" w:hAnsi="Calibri" w:cs="Calibri"/>
                <w:color w:val="000000"/>
                <w:sz w:val="22"/>
                <w:szCs w:val="22"/>
                <w:lang w:eastAsia="en-GB"/>
              </w:rPr>
              <w:br/>
              <w:t>Description of used aggregates in the station</w:t>
            </w:r>
            <w:r w:rsidRPr="00256F72">
              <w:rPr>
                <w:rFonts w:ascii="Calibri" w:hAnsi="Calibri" w:cs="Calibri"/>
                <w:color w:val="000000"/>
                <w:sz w:val="22"/>
                <w:szCs w:val="22"/>
                <w:lang w:eastAsia="en-GB"/>
              </w:rPr>
              <w:br/>
              <w:t>P&amp;I drawings of station</w:t>
            </w:r>
            <w:r w:rsidRPr="00256F72">
              <w:rPr>
                <w:rFonts w:ascii="Calibri" w:hAnsi="Calibri" w:cs="Calibri"/>
                <w:color w:val="000000"/>
                <w:sz w:val="22"/>
                <w:szCs w:val="22"/>
                <w:lang w:eastAsia="en-GB"/>
              </w:rPr>
              <w:br/>
              <w:t>Description of ventilation system</w:t>
            </w:r>
            <w:r w:rsidRPr="00256F72">
              <w:rPr>
                <w:rFonts w:ascii="Calibri" w:hAnsi="Calibri" w:cs="Calibri"/>
                <w:color w:val="000000"/>
                <w:sz w:val="22"/>
                <w:szCs w:val="22"/>
                <w:lang w:eastAsia="en-GB"/>
              </w:rPr>
              <w:br/>
              <w:t>Description of used materials, dangerous goods</w:t>
            </w:r>
            <w:r w:rsidRPr="00256F72">
              <w:rPr>
                <w:rFonts w:ascii="Calibri" w:hAnsi="Calibri" w:cs="Calibri"/>
                <w:color w:val="000000"/>
                <w:sz w:val="22"/>
                <w:szCs w:val="22"/>
                <w:lang w:eastAsia="en-GB"/>
              </w:rPr>
              <w:br/>
              <w:t>Description of  Feed in and output of materials</w:t>
            </w:r>
            <w:r w:rsidRPr="00256F72">
              <w:rPr>
                <w:rFonts w:ascii="Calibri" w:hAnsi="Calibri" w:cs="Calibri"/>
                <w:color w:val="000000"/>
                <w:sz w:val="22"/>
                <w:szCs w:val="22"/>
                <w:lang w:eastAsia="en-GB"/>
              </w:rPr>
              <w:br/>
              <w:t>Safety data sheets of all materials used</w:t>
            </w:r>
            <w:r w:rsidRPr="00256F72">
              <w:rPr>
                <w:rFonts w:ascii="Calibri" w:hAnsi="Calibri" w:cs="Calibri"/>
                <w:color w:val="000000"/>
                <w:sz w:val="22"/>
                <w:szCs w:val="22"/>
                <w:lang w:eastAsia="en-GB"/>
              </w:rPr>
              <w:br/>
              <w:t>Description of measures to avoid waste</w:t>
            </w:r>
            <w:r w:rsidRPr="00256F72">
              <w:rPr>
                <w:rFonts w:ascii="Calibri" w:hAnsi="Calibri" w:cs="Calibri"/>
                <w:color w:val="000000"/>
                <w:sz w:val="22"/>
                <w:szCs w:val="22"/>
                <w:lang w:eastAsia="en-GB"/>
              </w:rPr>
              <w:br/>
              <w:t>Description of measures how to dispose of waste</w:t>
            </w:r>
            <w:r w:rsidRPr="00256F72">
              <w:rPr>
                <w:rFonts w:ascii="Calibri" w:hAnsi="Calibri" w:cs="Calibri"/>
                <w:color w:val="000000"/>
                <w:sz w:val="22"/>
                <w:szCs w:val="22"/>
                <w:lang w:eastAsia="en-GB"/>
              </w:rPr>
              <w:br/>
              <w:t>Description of treatment of goods dangerous to water</w:t>
            </w:r>
            <w:r w:rsidRPr="00256F72">
              <w:rPr>
                <w:rFonts w:ascii="Calibri" w:hAnsi="Calibri" w:cs="Calibri"/>
                <w:color w:val="000000"/>
                <w:sz w:val="22"/>
                <w:szCs w:val="22"/>
                <w:lang w:eastAsia="en-GB"/>
              </w:rPr>
              <w:br/>
              <w:t>HAZOP analysis</w:t>
            </w:r>
            <w:r w:rsidRPr="00256F72">
              <w:rPr>
                <w:rFonts w:ascii="Calibri" w:hAnsi="Calibri" w:cs="Calibri"/>
                <w:color w:val="000000"/>
                <w:sz w:val="22"/>
                <w:szCs w:val="22"/>
                <w:lang w:eastAsia="en-GB"/>
              </w:rPr>
              <w:br/>
              <w:t>Description of  rational use of energy</w:t>
            </w:r>
            <w:r w:rsidRPr="00256F72">
              <w:rPr>
                <w:rFonts w:ascii="Calibri" w:hAnsi="Calibri" w:cs="Calibri"/>
                <w:color w:val="000000"/>
                <w:sz w:val="22"/>
                <w:szCs w:val="22"/>
                <w:lang w:eastAsia="en-GB"/>
              </w:rPr>
              <w:br/>
              <w:t>Expertise on noise emissions</w:t>
            </w:r>
            <w:r w:rsidRPr="00256F72">
              <w:rPr>
                <w:rFonts w:ascii="Calibri" w:hAnsi="Calibri" w:cs="Calibri"/>
                <w:color w:val="000000"/>
                <w:sz w:val="22"/>
                <w:szCs w:val="22"/>
                <w:lang w:eastAsia="en-GB"/>
              </w:rPr>
              <w:br/>
              <w:t>Description of technical employment protection</w:t>
            </w:r>
            <w:r w:rsidRPr="00256F72">
              <w:rPr>
                <w:rFonts w:ascii="Calibri" w:hAnsi="Calibri" w:cs="Calibri"/>
                <w:color w:val="000000"/>
                <w:sz w:val="22"/>
                <w:szCs w:val="22"/>
                <w:lang w:eastAsia="en-GB"/>
              </w:rPr>
              <w:br/>
              <w:t>Safety expertise</w:t>
            </w:r>
            <w:r w:rsidRPr="00256F72">
              <w:rPr>
                <w:rFonts w:ascii="Calibri" w:hAnsi="Calibri" w:cs="Calibri"/>
                <w:color w:val="000000"/>
                <w:sz w:val="22"/>
                <w:szCs w:val="22"/>
                <w:lang w:eastAsia="en-GB"/>
              </w:rPr>
              <w:br/>
              <w:t>List of safety valves</w:t>
            </w:r>
            <w:r w:rsidRPr="00256F72">
              <w:rPr>
                <w:rFonts w:ascii="Calibri" w:hAnsi="Calibri" w:cs="Calibri"/>
                <w:color w:val="000000"/>
                <w:sz w:val="22"/>
                <w:szCs w:val="22"/>
                <w:lang w:eastAsia="en-GB"/>
              </w:rPr>
              <w:br/>
              <w:t>Greater list of alarm and control switches</w:t>
            </w:r>
            <w:r w:rsidRPr="00256F72">
              <w:rPr>
                <w:rFonts w:ascii="Calibri" w:hAnsi="Calibri" w:cs="Calibri"/>
                <w:color w:val="000000"/>
                <w:sz w:val="22"/>
                <w:szCs w:val="22"/>
                <w:lang w:eastAsia="en-GB"/>
              </w:rPr>
              <w:br/>
              <w:t xml:space="preserve">Additional safety expertise according to §29a BimSchG (not in every </w:t>
            </w:r>
            <w:r w:rsidRPr="00256F72">
              <w:rPr>
                <w:rFonts w:ascii="Calibri" w:hAnsi="Calibri" w:cs="Calibri"/>
                <w:color w:val="000000"/>
                <w:sz w:val="22"/>
                <w:szCs w:val="22"/>
                <w:lang w:eastAsia="en-GB"/>
              </w:rPr>
              <w:lastRenderedPageBreak/>
              <w:t xml:space="preserve">approval procedure. Authority CAN demand it but do not necessarily has to do it). </w:t>
            </w:r>
            <w:r w:rsidRPr="00256F72">
              <w:rPr>
                <w:rFonts w:ascii="Calibri" w:hAnsi="Calibri" w:cs="Calibri"/>
                <w:color w:val="000000"/>
                <w:sz w:val="22"/>
                <w:szCs w:val="22"/>
                <w:lang w:eastAsia="en-GB"/>
              </w:rPr>
              <w:br/>
              <w:t>Description of fire protection and gas warning installation</w:t>
            </w:r>
            <w:r w:rsidRPr="00256F72">
              <w:rPr>
                <w:rFonts w:ascii="Calibri" w:hAnsi="Calibri" w:cs="Calibri"/>
                <w:color w:val="000000"/>
                <w:sz w:val="22"/>
                <w:szCs w:val="22"/>
                <w:lang w:eastAsia="en-GB"/>
              </w:rPr>
              <w:br/>
              <w:t>Description of of lightning protection including report of installation</w:t>
            </w:r>
            <w:r w:rsidRPr="00256F72">
              <w:rPr>
                <w:rFonts w:ascii="Calibri" w:hAnsi="Calibri" w:cs="Calibri"/>
                <w:color w:val="000000"/>
                <w:sz w:val="22"/>
                <w:szCs w:val="22"/>
                <w:lang w:eastAsia="en-GB"/>
              </w:rPr>
              <w:br/>
              <w:t>Gas warning sensors and emergency shutdown plans</w:t>
            </w:r>
            <w:r w:rsidRPr="00256F72">
              <w:rPr>
                <w:rFonts w:ascii="Calibri" w:hAnsi="Calibri" w:cs="Calibri"/>
                <w:color w:val="000000"/>
                <w:sz w:val="22"/>
                <w:szCs w:val="22"/>
                <w:lang w:eastAsia="en-GB"/>
              </w:rPr>
              <w:br/>
              <w:t>Expert’s opinion of TÜV or other notified body on technical employment protection</w:t>
            </w:r>
            <w:r w:rsidRPr="00256F72">
              <w:rPr>
                <w:rFonts w:ascii="Calibri" w:hAnsi="Calibri" w:cs="Calibri"/>
                <w:color w:val="000000"/>
                <w:sz w:val="22"/>
                <w:szCs w:val="22"/>
                <w:lang w:eastAsia="en-GB"/>
              </w:rPr>
              <w:br/>
              <w:t>Explosion protection document</w:t>
            </w:r>
            <w:r w:rsidRPr="00256F72">
              <w:rPr>
                <w:rFonts w:ascii="Calibri" w:hAnsi="Calibri" w:cs="Calibri"/>
                <w:color w:val="000000"/>
                <w:sz w:val="22"/>
                <w:szCs w:val="22"/>
                <w:lang w:eastAsia="en-GB"/>
              </w:rPr>
              <w:br/>
              <w:t>Definition of EX-zones and zones with higher than normal oxygen concentration</w:t>
            </w:r>
            <w:r w:rsidRPr="00256F72">
              <w:rPr>
                <w:rFonts w:ascii="Calibri" w:hAnsi="Calibri" w:cs="Calibri"/>
                <w:color w:val="000000"/>
                <w:sz w:val="22"/>
                <w:szCs w:val="22"/>
                <w:lang w:eastAsia="en-GB"/>
              </w:rPr>
              <w:br/>
              <w:t>Ex-zone-plans</w:t>
            </w:r>
            <w:r w:rsidRPr="00256F72">
              <w:rPr>
                <w:rFonts w:ascii="Calibri" w:hAnsi="Calibri" w:cs="Calibri"/>
                <w:color w:val="000000"/>
                <w:sz w:val="22"/>
                <w:szCs w:val="22"/>
                <w:lang w:eastAsia="en-GB"/>
              </w:rPr>
              <w:br/>
              <w:t>Description of dangerous works</w:t>
            </w:r>
            <w:r w:rsidRPr="00256F72">
              <w:rPr>
                <w:rFonts w:ascii="Calibri" w:hAnsi="Calibri" w:cs="Calibri"/>
                <w:color w:val="000000"/>
                <w:sz w:val="22"/>
                <w:szCs w:val="22"/>
                <w:lang w:eastAsia="en-GB"/>
              </w:rPr>
              <w:br/>
              <w:t xml:space="preserve">Description </w:t>
            </w:r>
            <w:r>
              <w:rPr>
                <w:rFonts w:ascii="Calibri" w:hAnsi="Calibri" w:cs="Calibri"/>
                <w:color w:val="000000"/>
                <w:sz w:val="22"/>
                <w:szCs w:val="22"/>
                <w:lang w:eastAsia="en-GB"/>
              </w:rPr>
              <w:t>of work</w:t>
            </w:r>
            <w:r w:rsidRPr="00256F72">
              <w:rPr>
                <w:rFonts w:ascii="Calibri" w:hAnsi="Calibri" w:cs="Calibri"/>
                <w:color w:val="000000"/>
                <w:sz w:val="22"/>
                <w:szCs w:val="22"/>
                <w:lang w:eastAsia="en-GB"/>
              </w:rPr>
              <w:t xml:space="preserve"> with dangerous goods.</w:t>
            </w:r>
            <w:r w:rsidRPr="00256F72">
              <w:rPr>
                <w:rFonts w:ascii="Calibri" w:hAnsi="Calibri" w:cs="Calibri"/>
                <w:color w:val="000000"/>
                <w:sz w:val="22"/>
                <w:szCs w:val="22"/>
                <w:lang w:eastAsia="en-GB"/>
              </w:rPr>
              <w:br/>
              <w:t>Screening Document on environmental auditing.</w:t>
            </w:r>
            <w:r w:rsidRPr="00256F72">
              <w:rPr>
                <w:rFonts w:ascii="Calibri" w:hAnsi="Calibri" w:cs="Calibri"/>
                <w:color w:val="000000"/>
                <w:sz w:val="22"/>
                <w:szCs w:val="22"/>
                <w:lang w:eastAsia="en-GB"/>
              </w:rPr>
              <w:br/>
              <w:t>Description of measures i</w:t>
            </w:r>
            <w:r>
              <w:rPr>
                <w:rFonts w:ascii="Calibri" w:hAnsi="Calibri" w:cs="Calibri"/>
                <w:color w:val="000000"/>
                <w:sz w:val="22"/>
                <w:szCs w:val="22"/>
                <w:lang w:eastAsia="en-GB"/>
              </w:rPr>
              <w:t>n case of closure of operation</w:t>
            </w:r>
          </w:p>
        </w:tc>
        <w:tc>
          <w:tcPr>
            <w:tcW w:w="1640" w:type="dxa"/>
            <w:noWrap/>
            <w:vAlign w:val="center"/>
          </w:tcPr>
          <w:p w:rsidR="00365F48" w:rsidRPr="00256F72" w:rsidRDefault="00365F48" w:rsidP="00256F72">
            <w:pPr>
              <w:jc w:val="center"/>
              <w:rPr>
                <w:rFonts w:ascii="Calibri" w:hAnsi="Calibri" w:cs="Calibri"/>
                <w:color w:val="000000"/>
                <w:lang w:eastAsia="en-GB"/>
              </w:rPr>
            </w:pPr>
            <w:r w:rsidRPr="00256F72">
              <w:rPr>
                <w:rFonts w:ascii="Calibri" w:hAnsi="Calibri" w:cs="Calibri"/>
                <w:color w:val="000000"/>
                <w:sz w:val="22"/>
                <w:szCs w:val="22"/>
                <w:lang w:eastAsia="en-GB"/>
              </w:rPr>
              <w:lastRenderedPageBreak/>
              <w:t>DE (Hamburg)</w:t>
            </w:r>
          </w:p>
        </w:tc>
      </w:tr>
      <w:tr w:rsidR="00365F48" w:rsidRPr="00256F72" w:rsidTr="002101E5">
        <w:trPr>
          <w:trHeight w:val="1305"/>
          <w:jc w:val="center"/>
        </w:trPr>
        <w:tc>
          <w:tcPr>
            <w:tcW w:w="6560" w:type="dxa"/>
            <w:vAlign w:val="center"/>
          </w:tcPr>
          <w:p w:rsidR="00365F48" w:rsidRPr="00256F72" w:rsidRDefault="00365F48" w:rsidP="00256F72">
            <w:pPr>
              <w:rPr>
                <w:rFonts w:ascii="Calibri" w:hAnsi="Calibri" w:cs="Calibri"/>
                <w:color w:val="000000"/>
                <w:lang w:eastAsia="en-GB"/>
              </w:rPr>
            </w:pPr>
            <w:r w:rsidRPr="00256F72">
              <w:rPr>
                <w:rFonts w:ascii="Calibri" w:hAnsi="Calibri" w:cs="Calibri"/>
                <w:color w:val="000000"/>
                <w:sz w:val="22"/>
                <w:szCs w:val="22"/>
                <w:lang w:eastAsia="en-GB"/>
              </w:rPr>
              <w:lastRenderedPageBreak/>
              <w:t>Civil works executive projects</w:t>
            </w:r>
            <w:r w:rsidRPr="00256F72">
              <w:rPr>
                <w:rFonts w:ascii="Calibri" w:hAnsi="Calibri" w:cs="Calibri"/>
                <w:color w:val="000000"/>
                <w:sz w:val="22"/>
                <w:szCs w:val="22"/>
                <w:lang w:eastAsia="en-GB"/>
              </w:rPr>
              <w:br/>
              <w:t>Plants definitive projects</w:t>
            </w:r>
            <w:r w:rsidRPr="00256F72">
              <w:rPr>
                <w:rFonts w:ascii="Calibri" w:hAnsi="Calibri" w:cs="Calibri"/>
                <w:color w:val="000000"/>
                <w:sz w:val="22"/>
                <w:szCs w:val="22"/>
                <w:lang w:eastAsia="en-GB"/>
              </w:rPr>
              <w:br/>
              <w:t>Current regulations requirements compliance declaration</w:t>
            </w:r>
            <w:r w:rsidRPr="00256F72">
              <w:rPr>
                <w:rFonts w:ascii="Calibri" w:hAnsi="Calibri" w:cs="Calibri"/>
                <w:color w:val="000000"/>
                <w:sz w:val="22"/>
                <w:szCs w:val="22"/>
                <w:lang w:eastAsia="en-GB"/>
              </w:rPr>
              <w:br/>
              <w:t>Fire risks assessment</w:t>
            </w:r>
          </w:p>
        </w:tc>
        <w:tc>
          <w:tcPr>
            <w:tcW w:w="1640" w:type="dxa"/>
            <w:noWrap/>
            <w:vAlign w:val="center"/>
          </w:tcPr>
          <w:p w:rsidR="00365F48" w:rsidRPr="00256F72" w:rsidRDefault="00365F48" w:rsidP="00256F72">
            <w:pPr>
              <w:jc w:val="center"/>
              <w:rPr>
                <w:rFonts w:ascii="Calibri" w:hAnsi="Calibri" w:cs="Calibri"/>
                <w:color w:val="000000"/>
                <w:lang w:eastAsia="en-GB"/>
              </w:rPr>
            </w:pPr>
            <w:r w:rsidRPr="00256F72">
              <w:rPr>
                <w:rFonts w:ascii="Calibri" w:hAnsi="Calibri" w:cs="Calibri"/>
                <w:color w:val="000000"/>
                <w:sz w:val="22"/>
                <w:szCs w:val="22"/>
                <w:lang w:eastAsia="en-GB"/>
              </w:rPr>
              <w:t>IT (Milan)</w:t>
            </w:r>
          </w:p>
        </w:tc>
      </w:tr>
      <w:tr w:rsidR="00365F48" w:rsidRPr="00256F72" w:rsidTr="002101E5">
        <w:trPr>
          <w:trHeight w:val="315"/>
          <w:jc w:val="center"/>
        </w:trPr>
        <w:tc>
          <w:tcPr>
            <w:tcW w:w="6560" w:type="dxa"/>
            <w:noWrap/>
            <w:vAlign w:val="bottom"/>
          </w:tcPr>
          <w:p w:rsidR="00365F48" w:rsidRPr="00256F72" w:rsidRDefault="00365F48" w:rsidP="00256F72">
            <w:pPr>
              <w:rPr>
                <w:rFonts w:ascii="Calibri" w:hAnsi="Calibri" w:cs="Calibri"/>
                <w:color w:val="000000"/>
                <w:lang w:eastAsia="en-GB"/>
              </w:rPr>
            </w:pPr>
            <w:r w:rsidRPr="00256F72">
              <w:rPr>
                <w:rFonts w:ascii="Calibri" w:hAnsi="Calibri" w:cs="Calibri"/>
                <w:color w:val="000000"/>
                <w:sz w:val="22"/>
                <w:szCs w:val="22"/>
                <w:lang w:eastAsia="en-GB"/>
              </w:rPr>
              <w:t>At the moment not known</w:t>
            </w:r>
          </w:p>
        </w:tc>
        <w:tc>
          <w:tcPr>
            <w:tcW w:w="1640" w:type="dxa"/>
            <w:noWrap/>
            <w:vAlign w:val="bottom"/>
          </w:tcPr>
          <w:p w:rsidR="00365F48" w:rsidRPr="00256F72" w:rsidRDefault="00365F48" w:rsidP="00E870A2">
            <w:pPr>
              <w:jc w:val="center"/>
              <w:rPr>
                <w:rFonts w:ascii="Calibri" w:hAnsi="Calibri" w:cs="Calibri"/>
                <w:color w:val="000000"/>
                <w:lang w:eastAsia="en-GB"/>
              </w:rPr>
            </w:pPr>
            <w:r w:rsidRPr="00256F72">
              <w:rPr>
                <w:rFonts w:ascii="Calibri" w:hAnsi="Calibri" w:cs="Calibri"/>
                <w:color w:val="000000"/>
                <w:sz w:val="22"/>
                <w:szCs w:val="22"/>
                <w:lang w:eastAsia="en-GB"/>
              </w:rPr>
              <w:t>IT (Bolzano)</w:t>
            </w:r>
          </w:p>
        </w:tc>
      </w:tr>
    </w:tbl>
    <w:p w:rsidR="00365F48" w:rsidRDefault="00365F48" w:rsidP="00256F72">
      <w:pPr>
        <w:pStyle w:val="Text"/>
      </w:pPr>
    </w:p>
    <w:p w:rsidR="00365F48" w:rsidRDefault="00365F48" w:rsidP="009931DC">
      <w:pPr>
        <w:pStyle w:val="Heading2"/>
        <w:numPr>
          <w:ilvl w:val="0"/>
          <w:numId w:val="4"/>
        </w:numPr>
      </w:pPr>
      <w:bookmarkStart w:id="46" w:name="_Toc339439407"/>
      <w:r>
        <w:t>Target groups for safety assessment</w:t>
      </w:r>
      <w:bookmarkEnd w:id="46"/>
    </w:p>
    <w:p w:rsidR="00365F48" w:rsidRPr="009931DC" w:rsidRDefault="00365F48" w:rsidP="009931DC">
      <w:pPr>
        <w:pStyle w:val="Text"/>
      </w:pPr>
    </w:p>
    <w:p w:rsidR="00365F48" w:rsidRDefault="00365F48" w:rsidP="00D475CE">
      <w:pPr>
        <w:pStyle w:val="Text"/>
      </w:pPr>
      <w:r w:rsidRPr="004642D4">
        <w:t xml:space="preserve">Employees and operators are </w:t>
      </w:r>
      <w:r>
        <w:t>in</w:t>
      </w:r>
      <w:r w:rsidRPr="004642D4">
        <w:t xml:space="preserve"> focus </w:t>
      </w:r>
      <w:r>
        <w:t xml:space="preserve">within </w:t>
      </w:r>
      <w:r w:rsidRPr="004642D4">
        <w:t>the safety assessment permits in all cities.</w:t>
      </w:r>
    </w:p>
    <w:p w:rsidR="00365F48" w:rsidRPr="004642D4" w:rsidRDefault="00365F48" w:rsidP="00D475CE">
      <w:pPr>
        <w:pStyle w:val="Text"/>
      </w:pPr>
    </w:p>
    <w:tbl>
      <w:tblPr>
        <w:tblW w:w="84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6855"/>
        <w:gridCol w:w="1620"/>
      </w:tblGrid>
      <w:tr w:rsidR="00365F48" w:rsidRPr="00D475CE" w:rsidTr="009931DC">
        <w:trPr>
          <w:trHeight w:val="300"/>
          <w:jc w:val="center"/>
        </w:trPr>
        <w:tc>
          <w:tcPr>
            <w:tcW w:w="6855" w:type="dxa"/>
            <w:noWrap/>
            <w:vAlign w:val="center"/>
          </w:tcPr>
          <w:p w:rsidR="00365F48" w:rsidRPr="00D475CE" w:rsidRDefault="00365F48" w:rsidP="009931DC">
            <w:pPr>
              <w:rPr>
                <w:rFonts w:ascii="Calibri" w:hAnsi="Calibri" w:cs="Calibri"/>
                <w:color w:val="000000"/>
                <w:lang w:eastAsia="en-GB"/>
              </w:rPr>
            </w:pPr>
            <w:r w:rsidRPr="00D475CE">
              <w:rPr>
                <w:rFonts w:ascii="Calibri" w:hAnsi="Calibri" w:cs="Calibri"/>
                <w:color w:val="000000"/>
                <w:sz w:val="22"/>
                <w:szCs w:val="22"/>
                <w:lang w:eastAsia="en-GB"/>
              </w:rPr>
              <w:t>Employees and operator</w:t>
            </w:r>
          </w:p>
          <w:p w:rsidR="00365F48" w:rsidRPr="00D475CE" w:rsidRDefault="00365F48" w:rsidP="009931DC">
            <w:pPr>
              <w:rPr>
                <w:rFonts w:ascii="Calibri" w:hAnsi="Calibri" w:cs="Calibri"/>
                <w:color w:val="000000"/>
                <w:lang w:eastAsia="en-GB"/>
              </w:rPr>
            </w:pPr>
            <w:r w:rsidRPr="00D475CE">
              <w:rPr>
                <w:rFonts w:ascii="Calibri" w:hAnsi="Calibri" w:cs="Calibri"/>
                <w:color w:val="000000"/>
                <w:sz w:val="22"/>
                <w:szCs w:val="22"/>
                <w:lang w:eastAsia="en-GB"/>
              </w:rPr>
              <w:t> </w:t>
            </w:r>
          </w:p>
        </w:tc>
        <w:tc>
          <w:tcPr>
            <w:tcW w:w="1620" w:type="dxa"/>
            <w:noWrap/>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DE (Hamburg)</w:t>
            </w:r>
          </w:p>
        </w:tc>
      </w:tr>
      <w:tr w:rsidR="00365F48" w:rsidRPr="00D475CE" w:rsidTr="002101E5">
        <w:trPr>
          <w:trHeight w:val="735"/>
          <w:jc w:val="center"/>
        </w:trPr>
        <w:tc>
          <w:tcPr>
            <w:tcW w:w="6855" w:type="dxa"/>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ATM employees, maintenance operators, buses refueling operators, depot guests</w:t>
            </w:r>
          </w:p>
        </w:tc>
        <w:tc>
          <w:tcPr>
            <w:tcW w:w="1620" w:type="dxa"/>
            <w:noWrap/>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IT (Milan)</w:t>
            </w:r>
          </w:p>
        </w:tc>
      </w:tr>
      <w:tr w:rsidR="00365F48" w:rsidRPr="00D475CE" w:rsidTr="002101E5">
        <w:trPr>
          <w:trHeight w:val="555"/>
          <w:jc w:val="center"/>
        </w:trPr>
        <w:tc>
          <w:tcPr>
            <w:tcW w:w="6855" w:type="dxa"/>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Agency of Fire Prevention of the Autonomous Province of Bozen – Südtirol</w:t>
            </w:r>
          </w:p>
        </w:tc>
        <w:tc>
          <w:tcPr>
            <w:tcW w:w="1620" w:type="dxa"/>
            <w:noWrap/>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IT (Bolzano)</w:t>
            </w:r>
          </w:p>
        </w:tc>
      </w:tr>
    </w:tbl>
    <w:p w:rsidR="00365F48" w:rsidRDefault="00365F48" w:rsidP="00D475CE">
      <w:pPr>
        <w:pStyle w:val="Text"/>
        <w:rPr>
          <w:sz w:val="28"/>
          <w:szCs w:val="28"/>
        </w:rPr>
      </w:pPr>
    </w:p>
    <w:p w:rsidR="00365F48" w:rsidRDefault="00365F48">
      <w:pPr>
        <w:rPr>
          <w:sz w:val="28"/>
          <w:szCs w:val="28"/>
        </w:rPr>
      </w:pPr>
      <w:r>
        <w:rPr>
          <w:sz w:val="28"/>
          <w:szCs w:val="28"/>
        </w:rPr>
        <w:br w:type="page"/>
      </w:r>
    </w:p>
    <w:p w:rsidR="00365F48" w:rsidRDefault="00365F48" w:rsidP="009931DC">
      <w:pPr>
        <w:pStyle w:val="Heading2"/>
        <w:numPr>
          <w:ilvl w:val="0"/>
          <w:numId w:val="4"/>
        </w:numPr>
      </w:pPr>
      <w:bookmarkStart w:id="47" w:name="_Toc339439408"/>
      <w:r>
        <w:lastRenderedPageBreak/>
        <w:t>Technical standards used</w:t>
      </w:r>
      <w:bookmarkEnd w:id="47"/>
    </w:p>
    <w:p w:rsidR="00365F48" w:rsidRPr="009931DC" w:rsidRDefault="00365F48" w:rsidP="009931DC">
      <w:pPr>
        <w:pStyle w:val="Text"/>
      </w:pPr>
    </w:p>
    <w:p w:rsidR="00365F48" w:rsidRDefault="00365F48" w:rsidP="00F14507">
      <w:pPr>
        <w:pStyle w:val="Text"/>
      </w:pPr>
      <w:r w:rsidRPr="004642D4">
        <w:t>All cities have applied the European Directive (ATEX) for plants in combination with other regulations for pressure equipment, while London has followed the European Industrial Gases Association standards (EIGA).</w:t>
      </w:r>
    </w:p>
    <w:p w:rsidR="00365F48" w:rsidRPr="004642D4" w:rsidRDefault="00365F48" w:rsidP="00F14507">
      <w:pPr>
        <w:pStyle w:val="Text"/>
      </w:pPr>
    </w:p>
    <w:tbl>
      <w:tblPr>
        <w:tblW w:w="8520"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6880"/>
        <w:gridCol w:w="1640"/>
      </w:tblGrid>
      <w:tr w:rsidR="00365F48" w:rsidRPr="00D475CE" w:rsidTr="002101E5">
        <w:trPr>
          <w:trHeight w:val="1485"/>
          <w:jc w:val="center"/>
        </w:trPr>
        <w:tc>
          <w:tcPr>
            <w:tcW w:w="6880" w:type="dxa"/>
            <w:vAlign w:val="center"/>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 xml:space="preserve">Everything is built according to the various </w:t>
            </w:r>
            <w:r>
              <w:rPr>
                <w:rFonts w:ascii="Calibri" w:hAnsi="Calibri" w:cs="Calibri"/>
                <w:color w:val="000000"/>
                <w:sz w:val="22"/>
                <w:szCs w:val="22"/>
                <w:lang w:eastAsia="en-GB"/>
              </w:rPr>
              <w:t xml:space="preserve">European </w:t>
            </w:r>
            <w:r w:rsidRPr="00D475CE">
              <w:rPr>
                <w:rFonts w:ascii="Calibri" w:hAnsi="Calibri" w:cs="Calibri"/>
                <w:color w:val="000000"/>
                <w:sz w:val="22"/>
                <w:szCs w:val="22"/>
                <w:lang w:eastAsia="en-GB"/>
              </w:rPr>
              <w:t>E</w:t>
            </w:r>
            <w:r>
              <w:rPr>
                <w:rFonts w:ascii="Calibri" w:hAnsi="Calibri" w:cs="Calibri"/>
                <w:color w:val="000000"/>
                <w:sz w:val="22"/>
                <w:szCs w:val="22"/>
                <w:lang w:eastAsia="en-GB"/>
              </w:rPr>
              <w:t>C</w:t>
            </w:r>
            <w:r w:rsidRPr="00D475CE">
              <w:rPr>
                <w:rFonts w:ascii="Calibri" w:hAnsi="Calibri" w:cs="Calibri"/>
                <w:color w:val="000000"/>
                <w:sz w:val="22"/>
                <w:szCs w:val="22"/>
                <w:lang w:eastAsia="en-GB"/>
              </w:rPr>
              <w:t xml:space="preserve"> Directives:</w:t>
            </w:r>
            <w:r w:rsidRPr="00D475CE">
              <w:rPr>
                <w:rFonts w:ascii="Calibri" w:hAnsi="Calibri" w:cs="Calibri"/>
                <w:color w:val="000000"/>
                <w:sz w:val="22"/>
                <w:szCs w:val="22"/>
                <w:lang w:eastAsia="en-GB"/>
              </w:rPr>
              <w:br/>
              <w:t xml:space="preserve">• Machine Directive, </w:t>
            </w:r>
            <w:r w:rsidRPr="00D475CE">
              <w:rPr>
                <w:rFonts w:ascii="Calibri" w:hAnsi="Calibri" w:cs="Calibri"/>
                <w:color w:val="000000"/>
                <w:sz w:val="22"/>
                <w:szCs w:val="22"/>
                <w:lang w:eastAsia="en-GB"/>
              </w:rPr>
              <w:br/>
              <w:t xml:space="preserve">• Pressure Equipment </w:t>
            </w:r>
            <w:r w:rsidRPr="00D475CE">
              <w:rPr>
                <w:rFonts w:ascii="Calibri" w:hAnsi="Calibri" w:cs="Calibri"/>
                <w:color w:val="000000"/>
                <w:sz w:val="22"/>
                <w:szCs w:val="22"/>
                <w:lang w:eastAsia="en-GB"/>
              </w:rPr>
              <w:br/>
              <w:t>• Directive, ATEX Directive</w:t>
            </w:r>
            <w:r w:rsidRPr="00D475CE">
              <w:rPr>
                <w:rFonts w:ascii="Calibri" w:hAnsi="Calibri" w:cs="Calibri"/>
                <w:color w:val="000000"/>
                <w:sz w:val="22"/>
                <w:szCs w:val="22"/>
                <w:lang w:eastAsia="en-GB"/>
              </w:rPr>
              <w:br/>
              <w:t>• EMC Directive</w:t>
            </w:r>
            <w:r w:rsidRPr="00D475CE">
              <w:rPr>
                <w:rFonts w:ascii="Calibri" w:hAnsi="Calibri" w:cs="Calibri"/>
                <w:color w:val="000000"/>
                <w:sz w:val="22"/>
                <w:szCs w:val="22"/>
                <w:lang w:eastAsia="en-GB"/>
              </w:rPr>
              <w:br/>
              <w:t>• Etc.</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NO (Oslo)</w:t>
            </w:r>
          </w:p>
        </w:tc>
      </w:tr>
      <w:tr w:rsidR="00365F48" w:rsidRPr="00D475CE" w:rsidTr="002101E5">
        <w:trPr>
          <w:trHeight w:val="300"/>
          <w:jc w:val="center"/>
        </w:trPr>
        <w:tc>
          <w:tcPr>
            <w:tcW w:w="6880" w:type="dxa"/>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British Compressed Gas Association standards CP4,CP23 and CP33</w:t>
            </w:r>
            <w:r w:rsidRPr="00D475CE">
              <w:rPr>
                <w:rFonts w:ascii="Calibri" w:hAnsi="Calibri" w:cs="Calibri"/>
                <w:color w:val="000000"/>
                <w:sz w:val="22"/>
                <w:szCs w:val="22"/>
                <w:lang w:eastAsia="en-GB"/>
              </w:rPr>
              <w:br/>
            </w:r>
            <w:r w:rsidRPr="00D475CE">
              <w:rPr>
                <w:rFonts w:ascii="Calibri" w:hAnsi="Calibri" w:cs="Calibri"/>
                <w:color w:val="000000"/>
                <w:sz w:val="22"/>
                <w:szCs w:val="22"/>
                <w:lang w:eastAsia="en-GB"/>
              </w:rPr>
              <w:br/>
              <w:t>European Industrial Gases Association standards (EIGA) 15-06, 100-03, 06-02E</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UK (London)</w:t>
            </w:r>
          </w:p>
        </w:tc>
      </w:tr>
      <w:tr w:rsidR="00365F48" w:rsidRPr="00D475CE" w:rsidTr="002101E5">
        <w:trPr>
          <w:trHeight w:val="300"/>
          <w:jc w:val="center"/>
        </w:trPr>
        <w:tc>
          <w:tcPr>
            <w:tcW w:w="6880" w:type="dxa"/>
            <w:vAlign w:val="bottom"/>
          </w:tcPr>
          <w:p w:rsidR="00365F48" w:rsidRPr="00D475CE" w:rsidRDefault="00365F48" w:rsidP="00D475CE">
            <w:pPr>
              <w:rPr>
                <w:rFonts w:ascii="Calibri" w:hAnsi="Calibri" w:cs="Calibri"/>
                <w:color w:val="000000"/>
                <w:lang w:val="fr-CA" w:eastAsia="en-GB"/>
              </w:rPr>
            </w:pPr>
            <w:r w:rsidRPr="00D475CE">
              <w:rPr>
                <w:rFonts w:ascii="Calibri" w:hAnsi="Calibri" w:cs="Calibri"/>
                <w:color w:val="000000"/>
                <w:sz w:val="22"/>
                <w:szCs w:val="22"/>
                <w:lang w:val="fr-CA" w:eastAsia="en-GB"/>
              </w:rPr>
              <w:t>ATEX - SUVA 2153, Explosionsschutz (explosion prevention)</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CH (Aarau)</w:t>
            </w:r>
          </w:p>
        </w:tc>
      </w:tr>
      <w:tr w:rsidR="00365F48" w:rsidRPr="00D475CE" w:rsidTr="002101E5">
        <w:trPr>
          <w:trHeight w:val="720"/>
          <w:jc w:val="center"/>
        </w:trPr>
        <w:tc>
          <w:tcPr>
            <w:tcW w:w="6880" w:type="dxa"/>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Reinforced concrete constructions regulations (NTC 2008), UNI, CEI, PED, ATEX plants regulations.</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IT (Milan)</w:t>
            </w:r>
          </w:p>
        </w:tc>
      </w:tr>
      <w:tr w:rsidR="00365F48" w:rsidRPr="00D475CE" w:rsidTr="002101E5">
        <w:trPr>
          <w:trHeight w:val="315"/>
          <w:jc w:val="center"/>
        </w:trPr>
        <w:tc>
          <w:tcPr>
            <w:tcW w:w="6880" w:type="dxa"/>
            <w:noWrap/>
            <w:vAlign w:val="bottom"/>
          </w:tcPr>
          <w:p w:rsidR="00365F48" w:rsidRPr="00D475CE" w:rsidRDefault="00365F48" w:rsidP="00D475CE">
            <w:pPr>
              <w:rPr>
                <w:rFonts w:ascii="Calibri" w:hAnsi="Calibri" w:cs="Calibri"/>
                <w:color w:val="000000"/>
                <w:lang w:val="it-IT" w:eastAsia="en-GB"/>
              </w:rPr>
            </w:pPr>
            <w:r w:rsidRPr="00D475CE">
              <w:rPr>
                <w:rFonts w:ascii="Calibri" w:hAnsi="Calibri" w:cs="Calibri"/>
                <w:color w:val="000000"/>
                <w:sz w:val="22"/>
                <w:szCs w:val="22"/>
                <w:lang w:val="it-IT" w:eastAsia="en-GB"/>
              </w:rPr>
              <w:t>Decreto del Ministero (DM) dell’interno 31 agosto 2006</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IT (Bolzano)</w:t>
            </w:r>
          </w:p>
        </w:tc>
      </w:tr>
      <w:tr w:rsidR="00365F48" w:rsidRPr="00D475CE" w:rsidTr="002101E5">
        <w:trPr>
          <w:trHeight w:val="315"/>
          <w:jc w:val="center"/>
        </w:trPr>
        <w:tc>
          <w:tcPr>
            <w:tcW w:w="6880" w:type="dxa"/>
            <w:noWrap/>
            <w:vAlign w:val="bottom"/>
          </w:tcPr>
          <w:p w:rsidR="00365F48" w:rsidRPr="00D475CE" w:rsidRDefault="00365F48" w:rsidP="00D475CE">
            <w:pPr>
              <w:rPr>
                <w:rFonts w:ascii="Calibri" w:hAnsi="Calibri" w:cs="Calibri"/>
                <w:color w:val="000000"/>
                <w:lang w:eastAsia="en-GB"/>
              </w:rPr>
            </w:pPr>
            <w:r w:rsidRPr="00D475CE">
              <w:rPr>
                <w:rFonts w:ascii="Calibri" w:hAnsi="Calibri" w:cs="Calibri"/>
                <w:color w:val="000000"/>
                <w:sz w:val="22"/>
                <w:szCs w:val="22"/>
                <w:lang w:eastAsia="en-GB"/>
              </w:rPr>
              <w:t xml:space="preserve">Technical regulations in BetrSV (leading document) </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DE (Cologne)</w:t>
            </w:r>
          </w:p>
        </w:tc>
      </w:tr>
      <w:tr w:rsidR="00365F48" w:rsidRPr="00D475CE" w:rsidTr="002101E5">
        <w:trPr>
          <w:trHeight w:val="3167"/>
          <w:jc w:val="center"/>
        </w:trPr>
        <w:tc>
          <w:tcPr>
            <w:tcW w:w="6880" w:type="dxa"/>
            <w:vAlign w:val="center"/>
          </w:tcPr>
          <w:p w:rsidR="00365F48" w:rsidRPr="00D475CE" w:rsidRDefault="00365F48" w:rsidP="002101E5">
            <w:pPr>
              <w:rPr>
                <w:rFonts w:ascii="Calibri" w:hAnsi="Calibri" w:cs="Calibri"/>
                <w:color w:val="000000"/>
                <w:lang w:eastAsia="en-GB"/>
              </w:rPr>
            </w:pPr>
            <w:r w:rsidRPr="00D475CE">
              <w:rPr>
                <w:rFonts w:ascii="Calibri" w:hAnsi="Calibri" w:cs="Calibri"/>
                <w:color w:val="000000"/>
                <w:sz w:val="22"/>
                <w:szCs w:val="22"/>
                <w:lang w:eastAsia="en-GB"/>
              </w:rPr>
              <w:t>Regulations according to BimSchG and BimSchV (comrare above).</w:t>
            </w:r>
            <w:r w:rsidRPr="00D475CE">
              <w:rPr>
                <w:rFonts w:ascii="Calibri" w:hAnsi="Calibri" w:cs="Calibri"/>
                <w:color w:val="000000"/>
                <w:sz w:val="22"/>
                <w:szCs w:val="22"/>
                <w:lang w:eastAsia="en-GB"/>
              </w:rPr>
              <w:br/>
              <w:t>Technical regulations in BetrSiVerordnung</w:t>
            </w:r>
            <w:r w:rsidRPr="00D475CE">
              <w:rPr>
                <w:rFonts w:ascii="Calibri" w:hAnsi="Calibri" w:cs="Calibri"/>
                <w:color w:val="000000"/>
                <w:sz w:val="22"/>
                <w:szCs w:val="22"/>
                <w:lang w:eastAsia="en-GB"/>
              </w:rPr>
              <w:br/>
              <w:t>European Pressure Directive….</w:t>
            </w:r>
            <w:r w:rsidRPr="00D475CE">
              <w:rPr>
                <w:rFonts w:ascii="Calibri" w:hAnsi="Calibri" w:cs="Calibri"/>
                <w:color w:val="000000"/>
                <w:sz w:val="22"/>
                <w:szCs w:val="22"/>
                <w:lang w:eastAsia="en-GB"/>
              </w:rPr>
              <w:br/>
              <w:t>VdTÜV Merkblatt 514</w:t>
            </w:r>
            <w:r w:rsidRPr="00D475CE">
              <w:rPr>
                <w:rFonts w:ascii="Calibri" w:hAnsi="Calibri" w:cs="Calibri"/>
                <w:color w:val="000000"/>
                <w:sz w:val="22"/>
                <w:szCs w:val="22"/>
                <w:lang w:eastAsia="en-GB"/>
              </w:rPr>
              <w:br/>
              <w:t>§ 3 BetrSichV</w:t>
            </w:r>
            <w:r w:rsidRPr="00D475CE">
              <w:rPr>
                <w:rFonts w:ascii="Calibri" w:hAnsi="Calibri" w:cs="Calibri"/>
                <w:color w:val="000000"/>
                <w:sz w:val="22"/>
                <w:szCs w:val="22"/>
                <w:lang w:eastAsia="en-GB"/>
              </w:rPr>
              <w:br/>
              <w:t>§ 4 BetrSichV</w:t>
            </w:r>
            <w:r w:rsidRPr="00D475CE">
              <w:rPr>
                <w:rFonts w:ascii="Calibri" w:hAnsi="Calibri" w:cs="Calibri"/>
                <w:color w:val="000000"/>
                <w:sz w:val="22"/>
                <w:szCs w:val="22"/>
                <w:lang w:eastAsia="en-GB"/>
              </w:rPr>
              <w:br/>
              <w:t>TRG 400, 401, 402, 790</w:t>
            </w:r>
            <w:r w:rsidRPr="00D475CE">
              <w:rPr>
                <w:rFonts w:ascii="Calibri" w:hAnsi="Calibri" w:cs="Calibri"/>
                <w:color w:val="000000"/>
                <w:sz w:val="22"/>
                <w:szCs w:val="22"/>
                <w:lang w:eastAsia="en-GB"/>
              </w:rPr>
              <w:br/>
              <w:t>TRB 600, 610</w:t>
            </w:r>
            <w:r w:rsidRPr="00D475CE">
              <w:rPr>
                <w:rFonts w:ascii="Calibri" w:hAnsi="Calibri" w:cs="Calibri"/>
                <w:color w:val="000000"/>
                <w:sz w:val="22"/>
                <w:szCs w:val="22"/>
                <w:lang w:eastAsia="en-GB"/>
              </w:rPr>
              <w:br/>
              <w:t>TRBS 2141, 2152</w:t>
            </w:r>
            <w:r w:rsidRPr="00D475CE">
              <w:rPr>
                <w:rFonts w:ascii="Calibri" w:hAnsi="Calibri" w:cs="Calibri"/>
                <w:color w:val="000000"/>
                <w:sz w:val="22"/>
                <w:szCs w:val="22"/>
                <w:lang w:eastAsia="en-GB"/>
              </w:rPr>
              <w:br/>
              <w:t>All local laws (Hamburger Gesetze)</w:t>
            </w:r>
            <w:r>
              <w:rPr>
                <w:rFonts w:ascii="Calibri" w:hAnsi="Calibri" w:cs="Calibri"/>
                <w:color w:val="000000"/>
                <w:sz w:val="22"/>
                <w:szCs w:val="22"/>
                <w:lang w:eastAsia="en-GB"/>
              </w:rPr>
              <w:t>. (</w:t>
            </w:r>
            <w:r w:rsidRPr="00D475CE">
              <w:rPr>
                <w:rFonts w:ascii="Calibri" w:hAnsi="Calibri" w:cs="Calibri"/>
                <w:color w:val="000000"/>
                <w:sz w:val="22"/>
                <w:szCs w:val="22"/>
                <w:lang w:eastAsia="en-GB"/>
              </w:rPr>
              <w:t>non</w:t>
            </w:r>
            <w:r>
              <w:rPr>
                <w:rFonts w:ascii="Calibri" w:hAnsi="Calibri" w:cs="Calibri"/>
                <w:color w:val="000000"/>
                <w:sz w:val="22"/>
                <w:szCs w:val="22"/>
                <w:lang w:eastAsia="en-GB"/>
              </w:rPr>
              <w:t>-</w:t>
            </w:r>
            <w:r w:rsidRPr="00D475CE">
              <w:rPr>
                <w:rFonts w:ascii="Calibri" w:hAnsi="Calibri" w:cs="Calibri"/>
                <w:color w:val="000000"/>
                <w:sz w:val="22"/>
                <w:szCs w:val="22"/>
                <w:lang w:eastAsia="en-GB"/>
              </w:rPr>
              <w:t>exhaustive enumeration</w:t>
            </w:r>
            <w:r>
              <w:rPr>
                <w:rFonts w:ascii="Calibri" w:hAnsi="Calibri" w:cs="Calibri"/>
                <w:color w:val="000000"/>
                <w:sz w:val="22"/>
                <w:szCs w:val="22"/>
                <w:lang w:eastAsia="en-GB"/>
              </w:rPr>
              <w:t>)</w:t>
            </w:r>
          </w:p>
        </w:tc>
        <w:tc>
          <w:tcPr>
            <w:tcW w:w="1640" w:type="dxa"/>
            <w:noWrap/>
            <w:vAlign w:val="center"/>
          </w:tcPr>
          <w:p w:rsidR="00365F48" w:rsidRPr="00D475CE" w:rsidRDefault="00365F48" w:rsidP="002101E5">
            <w:pPr>
              <w:jc w:val="center"/>
              <w:rPr>
                <w:rFonts w:ascii="Calibri" w:hAnsi="Calibri" w:cs="Calibri"/>
                <w:color w:val="000000"/>
                <w:lang w:eastAsia="en-GB"/>
              </w:rPr>
            </w:pPr>
            <w:r w:rsidRPr="00D475CE">
              <w:rPr>
                <w:rFonts w:ascii="Calibri" w:hAnsi="Calibri" w:cs="Calibri"/>
                <w:color w:val="000000"/>
                <w:sz w:val="22"/>
                <w:szCs w:val="22"/>
                <w:lang w:eastAsia="en-GB"/>
              </w:rPr>
              <w:t>DE (Hamburg)</w:t>
            </w:r>
          </w:p>
        </w:tc>
      </w:tr>
    </w:tbl>
    <w:p w:rsidR="00365F48" w:rsidRDefault="00365F48" w:rsidP="00D475CE">
      <w:pPr>
        <w:pStyle w:val="Text"/>
        <w:rPr>
          <w:sz w:val="28"/>
          <w:szCs w:val="28"/>
        </w:rPr>
      </w:pPr>
    </w:p>
    <w:p w:rsidR="00365F48" w:rsidRDefault="00365F48">
      <w:pPr>
        <w:rPr>
          <w:sz w:val="28"/>
          <w:szCs w:val="28"/>
        </w:rPr>
      </w:pPr>
      <w:r>
        <w:rPr>
          <w:sz w:val="28"/>
          <w:szCs w:val="28"/>
        </w:rPr>
        <w:br w:type="page"/>
      </w:r>
    </w:p>
    <w:p w:rsidR="00365F48" w:rsidRPr="004642D4" w:rsidRDefault="00365F48" w:rsidP="009931DC">
      <w:pPr>
        <w:pStyle w:val="Heading2"/>
        <w:numPr>
          <w:ilvl w:val="0"/>
          <w:numId w:val="4"/>
        </w:numPr>
      </w:pPr>
      <w:bookmarkStart w:id="48" w:name="_Toc339439409"/>
      <w:r w:rsidRPr="004642D4">
        <w:lastRenderedPageBreak/>
        <w:t>Methodologies and guidelines for the assessment of external (off-site) external effects damage and risks</w:t>
      </w:r>
      <w:bookmarkEnd w:id="48"/>
    </w:p>
    <w:p w:rsidR="00365F48" w:rsidRDefault="00365F48" w:rsidP="00EA58D6"/>
    <w:p w:rsidR="00365F48" w:rsidRDefault="00365F48" w:rsidP="00712019">
      <w:pPr>
        <w:spacing w:line="360" w:lineRule="auto"/>
        <w:jc w:val="both"/>
      </w:pPr>
      <w:r>
        <w:t xml:space="preserve">A qualitative and quantitative risk assessment is conducted in all cities focusing on the explosion prevention. </w:t>
      </w:r>
      <w:r w:rsidRPr="00F579EF">
        <w:t>HAZID</w:t>
      </w:r>
      <w:r w:rsidR="00A7420F">
        <w:t xml:space="preserve"> </w:t>
      </w:r>
      <w:r w:rsidR="00A7420F" w:rsidRPr="00A7420F">
        <w:t>(Hazard Identification Study)</w:t>
      </w:r>
      <w:r w:rsidRPr="00F579EF">
        <w:t xml:space="preserve"> and HAZOP</w:t>
      </w:r>
      <w:r w:rsidR="00A7420F">
        <w:t xml:space="preserve"> </w:t>
      </w:r>
      <w:r w:rsidR="00A7420F" w:rsidRPr="00A7420F">
        <w:t>(Hazard and Operability Studies)</w:t>
      </w:r>
      <w:r w:rsidRPr="00A7420F">
        <w:t xml:space="preserve"> </w:t>
      </w:r>
      <w:r>
        <w:t xml:space="preserve">methodology </w:t>
      </w:r>
      <w:r w:rsidRPr="00F579EF">
        <w:t>analysis</w:t>
      </w:r>
      <w:r>
        <w:t xml:space="preserve"> take into account factors such as </w:t>
      </w:r>
      <w:r w:rsidR="00A707D9">
        <w:t>deviation, cause, effect and</w:t>
      </w:r>
      <w:r w:rsidRPr="0045298C">
        <w:t xml:space="preserve"> risk mitigation</w:t>
      </w:r>
      <w:r>
        <w:t xml:space="preserve">. </w:t>
      </w:r>
    </w:p>
    <w:p w:rsidR="00365F48" w:rsidRDefault="00365F48" w:rsidP="00EA58D6"/>
    <w:p w:rsidR="00365F48" w:rsidRDefault="00365F48"/>
    <w:tbl>
      <w:tblPr>
        <w:tblW w:w="8520"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6880"/>
        <w:gridCol w:w="1640"/>
      </w:tblGrid>
      <w:tr w:rsidR="00365F48" w:rsidRPr="0045298C" w:rsidTr="002101E5">
        <w:trPr>
          <w:trHeight w:val="643"/>
          <w:jc w:val="center"/>
        </w:trPr>
        <w:tc>
          <w:tcPr>
            <w:tcW w:w="6880" w:type="dxa"/>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The Operator Air Liquide will make regular safety inspection which will be protocolled</w:t>
            </w:r>
            <w:r w:rsidRPr="0045298C">
              <w:rPr>
                <w:rFonts w:ascii="Calibri" w:hAnsi="Calibri" w:cs="Calibri"/>
                <w:color w:val="000000"/>
                <w:sz w:val="22"/>
                <w:szCs w:val="22"/>
                <w:lang w:eastAsia="en-GB"/>
              </w:rPr>
              <w:br/>
              <w:t>The authority may carry out inspection if the feel the need for this.</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NO (Oslo)</w:t>
            </w:r>
          </w:p>
        </w:tc>
      </w:tr>
      <w:tr w:rsidR="00365F48" w:rsidRPr="0045298C" w:rsidTr="002101E5">
        <w:trPr>
          <w:trHeight w:val="300"/>
          <w:jc w:val="center"/>
        </w:trPr>
        <w:tc>
          <w:tcPr>
            <w:tcW w:w="6880" w:type="dxa"/>
            <w:noWrap/>
            <w:vAlign w:val="bottom"/>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Air Products internal inspection procedure</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UK (London)</w:t>
            </w:r>
          </w:p>
        </w:tc>
      </w:tr>
      <w:tr w:rsidR="00365F48" w:rsidRPr="0045298C" w:rsidTr="002101E5">
        <w:trPr>
          <w:trHeight w:val="300"/>
          <w:jc w:val="center"/>
        </w:trPr>
        <w:tc>
          <w:tcPr>
            <w:tcW w:w="6880" w:type="dxa"/>
            <w:noWrap/>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 xml:space="preserve">Inspection protocol are made by the different authorities  (see first point) </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CH (Aarau)</w:t>
            </w:r>
          </w:p>
        </w:tc>
      </w:tr>
      <w:tr w:rsidR="00365F48" w:rsidRPr="0045298C" w:rsidTr="002101E5">
        <w:trPr>
          <w:trHeight w:val="1490"/>
          <w:jc w:val="center"/>
        </w:trPr>
        <w:tc>
          <w:tcPr>
            <w:tcW w:w="6880" w:type="dxa"/>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The test procedure will be in three phases:</w:t>
            </w:r>
            <w:r w:rsidRPr="0045298C">
              <w:rPr>
                <w:rFonts w:ascii="Calibri" w:hAnsi="Calibri" w:cs="Calibri"/>
                <w:color w:val="000000"/>
                <w:sz w:val="22"/>
                <w:szCs w:val="22"/>
                <w:lang w:eastAsia="en-GB"/>
              </w:rPr>
              <w:br/>
              <w:t>- Empty plant</w:t>
            </w:r>
            <w:r w:rsidRPr="0045298C">
              <w:rPr>
                <w:rFonts w:ascii="Calibri" w:hAnsi="Calibri" w:cs="Calibri"/>
                <w:color w:val="000000"/>
                <w:sz w:val="22"/>
                <w:szCs w:val="22"/>
                <w:lang w:eastAsia="en-GB"/>
              </w:rPr>
              <w:br/>
              <w:t>- Plant filled with inert gas (Nitrogen)</w:t>
            </w:r>
            <w:r w:rsidRPr="0045298C">
              <w:rPr>
                <w:rFonts w:ascii="Calibri" w:hAnsi="Calibri" w:cs="Calibri"/>
                <w:color w:val="000000"/>
                <w:sz w:val="22"/>
                <w:szCs w:val="22"/>
                <w:lang w:eastAsia="en-GB"/>
              </w:rPr>
              <w:br/>
              <w:t>- Plant at full operation</w:t>
            </w:r>
            <w:r w:rsidRPr="0045298C">
              <w:rPr>
                <w:rFonts w:ascii="Calibri" w:hAnsi="Calibri" w:cs="Calibri"/>
                <w:color w:val="000000"/>
                <w:sz w:val="22"/>
                <w:szCs w:val="22"/>
                <w:lang w:eastAsia="en-GB"/>
              </w:rPr>
              <w:br/>
            </w:r>
            <w:r w:rsidRPr="0045298C">
              <w:rPr>
                <w:rFonts w:ascii="Calibri" w:hAnsi="Calibri" w:cs="Calibri"/>
                <w:color w:val="000000"/>
                <w:sz w:val="22"/>
                <w:szCs w:val="22"/>
                <w:lang w:eastAsia="en-GB"/>
              </w:rPr>
              <w:br/>
              <w:t>The whole test will be approved by TÜV and INAIL.</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IT (Milan)</w:t>
            </w:r>
          </w:p>
        </w:tc>
      </w:tr>
      <w:tr w:rsidR="00365F48" w:rsidRPr="0045298C" w:rsidTr="002101E5">
        <w:trPr>
          <w:trHeight w:val="1050"/>
          <w:jc w:val="center"/>
        </w:trPr>
        <w:tc>
          <w:tcPr>
            <w:tcW w:w="6880" w:type="dxa"/>
            <w:vAlign w:val="bottom"/>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In the first three years of operation the supplier will perform the inspections according to the performance requirements of the tender. The first inspection will be done by the inspection authority.</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IT (Bolzano)</w:t>
            </w:r>
          </w:p>
        </w:tc>
      </w:tr>
      <w:tr w:rsidR="00365F48" w:rsidRPr="0045298C" w:rsidTr="002101E5">
        <w:trPr>
          <w:trHeight w:val="1110"/>
          <w:jc w:val="center"/>
        </w:trPr>
        <w:tc>
          <w:tcPr>
            <w:tcW w:w="6880" w:type="dxa"/>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According to BetrSichV every 5 years by Competent Safety Organisation. Tubes every half year by operators + manufacturers regulations. Also: 24 months after start-up and every three years.</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DE (Cologne)</w:t>
            </w:r>
          </w:p>
        </w:tc>
      </w:tr>
    </w:tbl>
    <w:p w:rsidR="00365F48" w:rsidRDefault="00365F48" w:rsidP="00EA58D6"/>
    <w:p w:rsidR="00365F48" w:rsidRDefault="00365F48">
      <w:r>
        <w:br w:type="page"/>
      </w:r>
    </w:p>
    <w:p w:rsidR="00365F48" w:rsidRPr="004642D4" w:rsidRDefault="00365F48" w:rsidP="009931DC">
      <w:pPr>
        <w:pStyle w:val="Heading2"/>
        <w:numPr>
          <w:ilvl w:val="0"/>
          <w:numId w:val="4"/>
        </w:numPr>
      </w:pPr>
      <w:bookmarkStart w:id="49" w:name="_Toc339439410"/>
      <w:r w:rsidRPr="004642D4">
        <w:lastRenderedPageBreak/>
        <w:t>Inspection protocol</w:t>
      </w:r>
      <w:bookmarkEnd w:id="49"/>
    </w:p>
    <w:p w:rsidR="00365F48" w:rsidRDefault="00365F48" w:rsidP="00843574"/>
    <w:p w:rsidR="00365F48" w:rsidRDefault="00365F48" w:rsidP="00712019">
      <w:pPr>
        <w:jc w:val="both"/>
      </w:pPr>
      <w:r>
        <w:t>The hydrogen refuelling station supplier is performing the inspection control. In Aarau and in Italy inspection is subject to different local authorities.</w:t>
      </w:r>
    </w:p>
    <w:p w:rsidR="00365F48" w:rsidRDefault="00365F48" w:rsidP="00843574"/>
    <w:p w:rsidR="00365F48" w:rsidRDefault="00365F48" w:rsidP="0045298C"/>
    <w:tbl>
      <w:tblPr>
        <w:tblW w:w="8520"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6880"/>
        <w:gridCol w:w="1640"/>
      </w:tblGrid>
      <w:tr w:rsidR="00365F48" w:rsidRPr="0045298C" w:rsidTr="002101E5">
        <w:trPr>
          <w:trHeight w:val="871"/>
          <w:jc w:val="center"/>
        </w:trPr>
        <w:tc>
          <w:tcPr>
            <w:tcW w:w="6880" w:type="dxa"/>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The Operator Air Liquide will make regular safety inspection which will be protocolled</w:t>
            </w:r>
            <w:r w:rsidRPr="0045298C">
              <w:rPr>
                <w:rFonts w:ascii="Calibri" w:hAnsi="Calibri" w:cs="Calibri"/>
                <w:color w:val="000000"/>
                <w:sz w:val="22"/>
                <w:szCs w:val="22"/>
                <w:lang w:eastAsia="en-GB"/>
              </w:rPr>
              <w:br/>
              <w:t>The authority may carry out inspection if the feel the need for this.</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NO (Oslo)</w:t>
            </w:r>
          </w:p>
        </w:tc>
      </w:tr>
      <w:tr w:rsidR="00365F48" w:rsidRPr="0045298C" w:rsidTr="002101E5">
        <w:trPr>
          <w:trHeight w:val="300"/>
          <w:jc w:val="center"/>
        </w:trPr>
        <w:tc>
          <w:tcPr>
            <w:tcW w:w="6880" w:type="dxa"/>
            <w:noWrap/>
            <w:vAlign w:val="bottom"/>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Air Products internal inspection procedure</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UK (London)</w:t>
            </w:r>
          </w:p>
        </w:tc>
      </w:tr>
      <w:tr w:rsidR="00365F48" w:rsidRPr="0045298C" w:rsidTr="002101E5">
        <w:trPr>
          <w:trHeight w:val="300"/>
          <w:jc w:val="center"/>
        </w:trPr>
        <w:tc>
          <w:tcPr>
            <w:tcW w:w="6880" w:type="dxa"/>
            <w:noWrap/>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 xml:space="preserve">Inspection protocol are made by the different authorities  (see first point) </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CH (Aarau)</w:t>
            </w:r>
          </w:p>
        </w:tc>
      </w:tr>
      <w:tr w:rsidR="00365F48" w:rsidRPr="0045298C" w:rsidTr="002101E5">
        <w:trPr>
          <w:trHeight w:val="1634"/>
          <w:jc w:val="center"/>
        </w:trPr>
        <w:tc>
          <w:tcPr>
            <w:tcW w:w="6880" w:type="dxa"/>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The test procedure will be in three phases:</w:t>
            </w:r>
            <w:r w:rsidRPr="0045298C">
              <w:rPr>
                <w:rFonts w:ascii="Calibri" w:hAnsi="Calibri" w:cs="Calibri"/>
                <w:color w:val="000000"/>
                <w:sz w:val="22"/>
                <w:szCs w:val="22"/>
                <w:lang w:eastAsia="en-GB"/>
              </w:rPr>
              <w:br/>
              <w:t>- Empty plant</w:t>
            </w:r>
            <w:r w:rsidRPr="0045298C">
              <w:rPr>
                <w:rFonts w:ascii="Calibri" w:hAnsi="Calibri" w:cs="Calibri"/>
                <w:color w:val="000000"/>
                <w:sz w:val="22"/>
                <w:szCs w:val="22"/>
                <w:lang w:eastAsia="en-GB"/>
              </w:rPr>
              <w:br/>
              <w:t>- Plant filled with inert gas (Nitrogen)</w:t>
            </w:r>
            <w:r w:rsidRPr="0045298C">
              <w:rPr>
                <w:rFonts w:ascii="Calibri" w:hAnsi="Calibri" w:cs="Calibri"/>
                <w:color w:val="000000"/>
                <w:sz w:val="22"/>
                <w:szCs w:val="22"/>
                <w:lang w:eastAsia="en-GB"/>
              </w:rPr>
              <w:br/>
              <w:t>- Plant at full operation</w:t>
            </w:r>
            <w:r w:rsidRPr="0045298C">
              <w:rPr>
                <w:rFonts w:ascii="Calibri" w:hAnsi="Calibri" w:cs="Calibri"/>
                <w:color w:val="000000"/>
                <w:sz w:val="22"/>
                <w:szCs w:val="22"/>
                <w:lang w:eastAsia="en-GB"/>
              </w:rPr>
              <w:br/>
            </w:r>
            <w:r w:rsidRPr="0045298C">
              <w:rPr>
                <w:rFonts w:ascii="Calibri" w:hAnsi="Calibri" w:cs="Calibri"/>
                <w:color w:val="000000"/>
                <w:sz w:val="22"/>
                <w:szCs w:val="22"/>
                <w:lang w:eastAsia="en-GB"/>
              </w:rPr>
              <w:br/>
              <w:t>The whole test will be approved by TÜV and INAIL.</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IT (Milan)</w:t>
            </w:r>
          </w:p>
        </w:tc>
      </w:tr>
      <w:tr w:rsidR="00365F48" w:rsidRPr="0045298C" w:rsidTr="002101E5">
        <w:trPr>
          <w:trHeight w:val="821"/>
          <w:jc w:val="center"/>
        </w:trPr>
        <w:tc>
          <w:tcPr>
            <w:tcW w:w="6880" w:type="dxa"/>
            <w:vAlign w:val="bottom"/>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In the first three years of operation the supplier will perform the inspections according to the performance requirements of the tender. The first inspection will be done by the inspection authority.</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IT (Bolzano)</w:t>
            </w:r>
          </w:p>
        </w:tc>
      </w:tr>
      <w:tr w:rsidR="00365F48" w:rsidRPr="0045298C" w:rsidTr="002101E5">
        <w:trPr>
          <w:trHeight w:val="879"/>
          <w:jc w:val="center"/>
        </w:trPr>
        <w:tc>
          <w:tcPr>
            <w:tcW w:w="6880" w:type="dxa"/>
            <w:vAlign w:val="center"/>
          </w:tcPr>
          <w:p w:rsidR="00365F48" w:rsidRPr="0045298C" w:rsidRDefault="00365F48" w:rsidP="0045298C">
            <w:pPr>
              <w:rPr>
                <w:rFonts w:ascii="Calibri" w:hAnsi="Calibri" w:cs="Calibri"/>
                <w:color w:val="000000"/>
                <w:lang w:eastAsia="en-GB"/>
              </w:rPr>
            </w:pPr>
            <w:r w:rsidRPr="0045298C">
              <w:rPr>
                <w:rFonts w:ascii="Calibri" w:hAnsi="Calibri" w:cs="Calibri"/>
                <w:color w:val="000000"/>
                <w:sz w:val="22"/>
                <w:szCs w:val="22"/>
                <w:lang w:eastAsia="en-GB"/>
              </w:rPr>
              <w:t>According  to  BetrSichV  every  5  years  by Competent Safety Organisation. Tubes every half year by operators + manufacturers regulations. Also: 24 months after start-up and every three years.</w:t>
            </w:r>
          </w:p>
        </w:tc>
        <w:tc>
          <w:tcPr>
            <w:tcW w:w="1640" w:type="dxa"/>
            <w:noWrap/>
            <w:vAlign w:val="center"/>
          </w:tcPr>
          <w:p w:rsidR="00365F48" w:rsidRPr="0045298C" w:rsidRDefault="00365F48" w:rsidP="0045298C">
            <w:pPr>
              <w:jc w:val="center"/>
              <w:rPr>
                <w:rFonts w:ascii="Calibri" w:hAnsi="Calibri" w:cs="Calibri"/>
                <w:color w:val="000000"/>
                <w:lang w:eastAsia="en-GB"/>
              </w:rPr>
            </w:pPr>
            <w:r w:rsidRPr="0045298C">
              <w:rPr>
                <w:rFonts w:ascii="Calibri" w:hAnsi="Calibri" w:cs="Calibri"/>
                <w:color w:val="000000"/>
                <w:sz w:val="22"/>
                <w:szCs w:val="22"/>
                <w:lang w:eastAsia="en-GB"/>
              </w:rPr>
              <w:t>DE (Cologne)</w:t>
            </w:r>
          </w:p>
        </w:tc>
      </w:tr>
    </w:tbl>
    <w:p w:rsidR="00365F48" w:rsidRDefault="00365F48" w:rsidP="0045298C"/>
    <w:p w:rsidR="00365F48" w:rsidRDefault="00365F48">
      <w:r>
        <w:br w:type="page"/>
      </w:r>
    </w:p>
    <w:p w:rsidR="00365F48" w:rsidRDefault="00365F48" w:rsidP="009931DC">
      <w:pPr>
        <w:pStyle w:val="Heading2"/>
        <w:numPr>
          <w:ilvl w:val="0"/>
          <w:numId w:val="4"/>
        </w:numPr>
      </w:pPr>
      <w:bookmarkStart w:id="50" w:name="_Toc339439411"/>
      <w:r w:rsidRPr="004642D4">
        <w:lastRenderedPageBreak/>
        <w:t>Contingency planning</w:t>
      </w:r>
      <w:bookmarkEnd w:id="50"/>
    </w:p>
    <w:p w:rsidR="00365F48" w:rsidRPr="009931DC" w:rsidRDefault="00365F48" w:rsidP="009931DC">
      <w:pPr>
        <w:pStyle w:val="Text"/>
      </w:pPr>
    </w:p>
    <w:p w:rsidR="00365F48" w:rsidRDefault="00365F48" w:rsidP="00843574">
      <w:pPr>
        <w:pStyle w:val="Text"/>
      </w:pPr>
      <w:r>
        <w:t>The station supplier is also conceiving and performing the contingency planning.</w:t>
      </w:r>
    </w:p>
    <w:p w:rsidR="00365F48" w:rsidRDefault="00365F48" w:rsidP="00843574">
      <w:pPr>
        <w:pStyle w:val="Text"/>
      </w:pPr>
    </w:p>
    <w:tbl>
      <w:tblPr>
        <w:tblW w:w="87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A0" w:firstRow="1" w:lastRow="0" w:firstColumn="1" w:lastColumn="0" w:noHBand="0" w:noVBand="0"/>
      </w:tblPr>
      <w:tblGrid>
        <w:gridCol w:w="7025"/>
        <w:gridCol w:w="1675"/>
      </w:tblGrid>
      <w:tr w:rsidR="00365F48" w:rsidTr="009931DC">
        <w:trPr>
          <w:trHeight w:val="1086"/>
        </w:trPr>
        <w:tc>
          <w:tcPr>
            <w:tcW w:w="7025" w:type="dxa"/>
            <w:tcMar>
              <w:top w:w="15" w:type="dxa"/>
              <w:left w:w="15" w:type="dxa"/>
              <w:bottom w:w="0" w:type="dxa"/>
              <w:right w:w="15" w:type="dxa"/>
            </w:tcMar>
          </w:tcPr>
          <w:p w:rsidR="00365F48" w:rsidRDefault="00365F48">
            <w:pPr>
              <w:rPr>
                <w:rFonts w:ascii="Calibri" w:hAnsi="Calibri" w:cs="Calibri"/>
                <w:color w:val="000000"/>
              </w:rPr>
            </w:pPr>
            <w:r>
              <w:rPr>
                <w:rFonts w:ascii="Calibri" w:hAnsi="Calibri" w:cs="Calibri"/>
                <w:color w:val="000000"/>
                <w:sz w:val="22"/>
                <w:szCs w:val="22"/>
              </w:rPr>
              <w:t xml:space="preserve">Action plan of the fire brigade and firefighting - and safety plan. The project has involved all the authorities at an early stage. </w:t>
            </w:r>
            <w:r>
              <w:rPr>
                <w:rFonts w:ascii="Calibri" w:hAnsi="Calibri" w:cs="Calibri"/>
                <w:color w:val="000000"/>
                <w:sz w:val="22"/>
                <w:szCs w:val="22"/>
              </w:rPr>
              <w:br/>
              <w:t>There will be carried out fire (safety) drills with the local fire department.</w:t>
            </w:r>
          </w:p>
        </w:tc>
        <w:tc>
          <w:tcPr>
            <w:tcW w:w="1675" w:type="dxa"/>
            <w:noWrap/>
            <w:tcMar>
              <w:top w:w="15" w:type="dxa"/>
              <w:left w:w="15" w:type="dxa"/>
              <w:bottom w:w="0" w:type="dxa"/>
              <w:right w:w="15" w:type="dxa"/>
            </w:tcMar>
            <w:vAlign w:val="center"/>
          </w:tcPr>
          <w:p w:rsidR="00365F48" w:rsidRDefault="00365F48">
            <w:pPr>
              <w:jc w:val="center"/>
              <w:rPr>
                <w:rFonts w:ascii="Calibri" w:hAnsi="Calibri" w:cs="Calibri"/>
                <w:color w:val="000000"/>
              </w:rPr>
            </w:pPr>
            <w:r>
              <w:rPr>
                <w:rFonts w:ascii="Calibri" w:hAnsi="Calibri" w:cs="Calibri"/>
                <w:color w:val="000000"/>
                <w:sz w:val="22"/>
                <w:szCs w:val="22"/>
              </w:rPr>
              <w:t>NO (Oslo)</w:t>
            </w:r>
          </w:p>
        </w:tc>
      </w:tr>
      <w:tr w:rsidR="00365F48" w:rsidTr="009931DC">
        <w:trPr>
          <w:trHeight w:val="977"/>
        </w:trPr>
        <w:tc>
          <w:tcPr>
            <w:tcW w:w="7025" w:type="dxa"/>
            <w:tcMar>
              <w:top w:w="15" w:type="dxa"/>
              <w:left w:w="15" w:type="dxa"/>
              <w:bottom w:w="0" w:type="dxa"/>
              <w:right w:w="15" w:type="dxa"/>
            </w:tcMar>
            <w:vAlign w:val="center"/>
          </w:tcPr>
          <w:p w:rsidR="00365F48" w:rsidRDefault="00365F48">
            <w:pPr>
              <w:rPr>
                <w:rFonts w:ascii="Calibri" w:hAnsi="Calibri" w:cs="Calibri"/>
                <w:color w:val="000000"/>
              </w:rPr>
            </w:pPr>
            <w:r>
              <w:rPr>
                <w:rFonts w:ascii="Calibri" w:hAnsi="Calibri" w:cs="Calibri"/>
                <w:color w:val="000000"/>
                <w:sz w:val="22"/>
                <w:szCs w:val="22"/>
              </w:rPr>
              <w:t>An emergency response plan was drawn up. Air Products provided a 24-hour emergency hotline phone number. The station is fitted with CCTV and motion sensors and an emergency stop button.</w:t>
            </w:r>
          </w:p>
        </w:tc>
        <w:tc>
          <w:tcPr>
            <w:tcW w:w="0" w:type="auto"/>
            <w:noWrap/>
            <w:tcMar>
              <w:top w:w="15" w:type="dxa"/>
              <w:left w:w="15" w:type="dxa"/>
              <w:bottom w:w="0" w:type="dxa"/>
              <w:right w:w="15" w:type="dxa"/>
            </w:tcMar>
            <w:vAlign w:val="center"/>
          </w:tcPr>
          <w:p w:rsidR="00365F48" w:rsidRDefault="00365F48">
            <w:pPr>
              <w:jc w:val="center"/>
              <w:rPr>
                <w:rFonts w:ascii="Calibri" w:hAnsi="Calibri" w:cs="Calibri"/>
                <w:color w:val="000000"/>
              </w:rPr>
            </w:pPr>
            <w:r>
              <w:rPr>
                <w:rFonts w:ascii="Calibri" w:hAnsi="Calibri" w:cs="Calibri"/>
                <w:color w:val="000000"/>
                <w:sz w:val="22"/>
                <w:szCs w:val="22"/>
              </w:rPr>
              <w:t>UK (London)</w:t>
            </w:r>
          </w:p>
        </w:tc>
      </w:tr>
      <w:tr w:rsidR="00365F48" w:rsidTr="009931DC">
        <w:trPr>
          <w:trHeight w:val="326"/>
        </w:trPr>
        <w:tc>
          <w:tcPr>
            <w:tcW w:w="0" w:type="auto"/>
            <w:noWrap/>
            <w:tcMar>
              <w:top w:w="15" w:type="dxa"/>
              <w:left w:w="15" w:type="dxa"/>
              <w:bottom w:w="0" w:type="dxa"/>
              <w:right w:w="15" w:type="dxa"/>
            </w:tcMar>
            <w:vAlign w:val="bottom"/>
          </w:tcPr>
          <w:p w:rsidR="00365F48" w:rsidRDefault="00365F48">
            <w:pPr>
              <w:rPr>
                <w:rFonts w:ascii="Calibri" w:hAnsi="Calibri" w:cs="Calibri"/>
                <w:color w:val="000000"/>
              </w:rPr>
            </w:pPr>
            <w:r>
              <w:rPr>
                <w:rFonts w:ascii="Calibri" w:hAnsi="Calibri" w:cs="Calibri"/>
                <w:color w:val="000000"/>
                <w:sz w:val="22"/>
                <w:szCs w:val="22"/>
              </w:rPr>
              <w:t>Cooperation risk manager and fire department</w:t>
            </w:r>
          </w:p>
        </w:tc>
        <w:tc>
          <w:tcPr>
            <w:tcW w:w="0" w:type="auto"/>
            <w:noWrap/>
            <w:tcMar>
              <w:top w:w="15" w:type="dxa"/>
              <w:left w:w="15" w:type="dxa"/>
              <w:bottom w:w="0" w:type="dxa"/>
              <w:right w:w="15" w:type="dxa"/>
            </w:tcMar>
            <w:vAlign w:val="center"/>
          </w:tcPr>
          <w:p w:rsidR="00365F48" w:rsidRDefault="00365F48">
            <w:pPr>
              <w:jc w:val="center"/>
              <w:rPr>
                <w:rFonts w:ascii="Calibri" w:hAnsi="Calibri" w:cs="Calibri"/>
                <w:color w:val="000000"/>
              </w:rPr>
            </w:pPr>
            <w:r>
              <w:rPr>
                <w:rFonts w:ascii="Calibri" w:hAnsi="Calibri" w:cs="Calibri"/>
                <w:color w:val="000000"/>
                <w:sz w:val="22"/>
                <w:szCs w:val="22"/>
              </w:rPr>
              <w:t>CH (Aarau)</w:t>
            </w:r>
          </w:p>
        </w:tc>
      </w:tr>
      <w:tr w:rsidR="00365F48" w:rsidTr="009931DC">
        <w:trPr>
          <w:trHeight w:val="620"/>
        </w:trPr>
        <w:tc>
          <w:tcPr>
            <w:tcW w:w="7025" w:type="dxa"/>
            <w:tcMar>
              <w:top w:w="15" w:type="dxa"/>
              <w:left w:w="15" w:type="dxa"/>
              <w:bottom w:w="0" w:type="dxa"/>
              <w:right w:w="15" w:type="dxa"/>
            </w:tcMar>
            <w:vAlign w:val="center"/>
          </w:tcPr>
          <w:p w:rsidR="00365F48" w:rsidRDefault="00365F48">
            <w:pPr>
              <w:rPr>
                <w:rFonts w:ascii="Calibri" w:hAnsi="Calibri" w:cs="Calibri"/>
                <w:color w:val="000000"/>
              </w:rPr>
            </w:pPr>
            <w:r>
              <w:rPr>
                <w:rFonts w:ascii="Calibri" w:hAnsi="Calibri" w:cs="Calibri"/>
                <w:color w:val="000000"/>
                <w:sz w:val="22"/>
                <w:szCs w:val="22"/>
              </w:rPr>
              <w:t>The emergency plan will be drawn up by Linde (the plant builder), on the base of the risks assessment performed at plant installation completed.</w:t>
            </w:r>
          </w:p>
        </w:tc>
        <w:tc>
          <w:tcPr>
            <w:tcW w:w="0" w:type="auto"/>
            <w:noWrap/>
            <w:tcMar>
              <w:top w:w="15" w:type="dxa"/>
              <w:left w:w="15" w:type="dxa"/>
              <w:bottom w:w="0" w:type="dxa"/>
              <w:right w:w="15" w:type="dxa"/>
            </w:tcMar>
            <w:vAlign w:val="center"/>
          </w:tcPr>
          <w:p w:rsidR="00365F48" w:rsidRDefault="00365F48">
            <w:pPr>
              <w:jc w:val="center"/>
              <w:rPr>
                <w:rFonts w:ascii="Calibri" w:hAnsi="Calibri" w:cs="Calibri"/>
                <w:color w:val="000000"/>
              </w:rPr>
            </w:pPr>
            <w:r>
              <w:rPr>
                <w:rFonts w:ascii="Calibri" w:hAnsi="Calibri" w:cs="Calibri"/>
                <w:color w:val="000000"/>
                <w:sz w:val="22"/>
                <w:szCs w:val="22"/>
              </w:rPr>
              <w:t>IT (Milan)</w:t>
            </w:r>
          </w:p>
        </w:tc>
      </w:tr>
      <w:tr w:rsidR="00365F48" w:rsidTr="009931DC">
        <w:trPr>
          <w:trHeight w:val="243"/>
        </w:trPr>
        <w:tc>
          <w:tcPr>
            <w:tcW w:w="7025" w:type="dxa"/>
            <w:tcMar>
              <w:top w:w="15" w:type="dxa"/>
              <w:left w:w="15" w:type="dxa"/>
              <w:bottom w:w="0" w:type="dxa"/>
              <w:right w:w="15" w:type="dxa"/>
            </w:tcMar>
            <w:vAlign w:val="bottom"/>
          </w:tcPr>
          <w:p w:rsidR="00365F48" w:rsidRDefault="00365F48">
            <w:pPr>
              <w:rPr>
                <w:rFonts w:ascii="Calibri" w:hAnsi="Calibri" w:cs="Calibri"/>
                <w:color w:val="000000"/>
              </w:rPr>
            </w:pPr>
            <w:r>
              <w:rPr>
                <w:rFonts w:ascii="Calibri" w:hAnsi="Calibri" w:cs="Calibri"/>
                <w:color w:val="000000"/>
                <w:sz w:val="22"/>
                <w:szCs w:val="22"/>
              </w:rPr>
              <w:t>Not yet defined</w:t>
            </w:r>
          </w:p>
        </w:tc>
        <w:tc>
          <w:tcPr>
            <w:tcW w:w="0" w:type="auto"/>
            <w:noWrap/>
            <w:tcMar>
              <w:top w:w="15" w:type="dxa"/>
              <w:left w:w="15" w:type="dxa"/>
              <w:bottom w:w="0" w:type="dxa"/>
              <w:right w:w="15" w:type="dxa"/>
            </w:tcMar>
            <w:vAlign w:val="center"/>
          </w:tcPr>
          <w:p w:rsidR="00365F48" w:rsidRDefault="00365F48">
            <w:pPr>
              <w:jc w:val="center"/>
              <w:rPr>
                <w:rFonts w:ascii="Calibri" w:hAnsi="Calibri" w:cs="Calibri"/>
                <w:color w:val="000000"/>
              </w:rPr>
            </w:pPr>
            <w:r>
              <w:rPr>
                <w:rFonts w:ascii="Calibri" w:hAnsi="Calibri" w:cs="Calibri"/>
                <w:color w:val="000000"/>
                <w:sz w:val="22"/>
                <w:szCs w:val="22"/>
              </w:rPr>
              <w:t>IT (Bolzano)</w:t>
            </w:r>
          </w:p>
        </w:tc>
      </w:tr>
      <w:tr w:rsidR="00365F48" w:rsidTr="009931DC">
        <w:trPr>
          <w:trHeight w:val="953"/>
        </w:trPr>
        <w:tc>
          <w:tcPr>
            <w:tcW w:w="7025" w:type="dxa"/>
            <w:tcMar>
              <w:top w:w="15" w:type="dxa"/>
              <w:left w:w="15" w:type="dxa"/>
              <w:bottom w:w="0" w:type="dxa"/>
              <w:right w:w="15" w:type="dxa"/>
            </w:tcMar>
            <w:vAlign w:val="bottom"/>
          </w:tcPr>
          <w:p w:rsidR="00365F48" w:rsidRDefault="00365F48">
            <w:pPr>
              <w:rPr>
                <w:rFonts w:ascii="Calibri" w:hAnsi="Calibri" w:cs="Calibri"/>
                <w:color w:val="000000"/>
              </w:rPr>
            </w:pPr>
            <w:r>
              <w:rPr>
                <w:rFonts w:ascii="Calibri" w:hAnsi="Calibri" w:cs="Calibri"/>
                <w:color w:val="000000"/>
                <w:sz w:val="22"/>
                <w:szCs w:val="22"/>
              </w:rPr>
              <w:t>Action plan of the fire brigade and safety response plan.  Fire  fighters  or  the  agency  for  fire-prevention  should  be involved  in  an  early  stage  as  officials  often  want to  have their  point  of  view  regarding  emergency  planning  and access to the HRS.</w:t>
            </w:r>
          </w:p>
        </w:tc>
        <w:tc>
          <w:tcPr>
            <w:tcW w:w="0" w:type="auto"/>
            <w:noWrap/>
            <w:tcMar>
              <w:top w:w="15" w:type="dxa"/>
              <w:left w:w="15" w:type="dxa"/>
              <w:bottom w:w="0" w:type="dxa"/>
              <w:right w:w="15" w:type="dxa"/>
            </w:tcMar>
            <w:vAlign w:val="bottom"/>
          </w:tcPr>
          <w:p w:rsidR="00365F48" w:rsidRDefault="00365F48">
            <w:pPr>
              <w:jc w:val="center"/>
              <w:rPr>
                <w:rFonts w:ascii="Calibri" w:hAnsi="Calibri" w:cs="Calibri"/>
                <w:color w:val="000000"/>
              </w:rPr>
            </w:pPr>
            <w:r>
              <w:rPr>
                <w:rFonts w:ascii="Calibri" w:hAnsi="Calibri" w:cs="Calibri"/>
                <w:color w:val="000000"/>
                <w:sz w:val="22"/>
                <w:szCs w:val="22"/>
              </w:rPr>
              <w:t>DE (Cologne)</w:t>
            </w:r>
          </w:p>
        </w:tc>
      </w:tr>
    </w:tbl>
    <w:p w:rsidR="00365F48" w:rsidRDefault="00365F48" w:rsidP="00843574">
      <w:pPr>
        <w:pStyle w:val="Text"/>
        <w:ind w:left="720"/>
      </w:pPr>
    </w:p>
    <w:p w:rsidR="00365F48" w:rsidRDefault="00365F48">
      <w:r>
        <w:br w:type="page"/>
      </w:r>
    </w:p>
    <w:p w:rsidR="00365F48" w:rsidRDefault="00365F48" w:rsidP="009931DC">
      <w:pPr>
        <w:pStyle w:val="Heading2"/>
        <w:numPr>
          <w:ilvl w:val="0"/>
          <w:numId w:val="4"/>
        </w:numPr>
      </w:pPr>
      <w:bookmarkStart w:id="51" w:name="_Toc339439412"/>
      <w:r w:rsidRPr="004642D4">
        <w:lastRenderedPageBreak/>
        <w:t>Duration and costs of the approval process</w:t>
      </w:r>
      <w:bookmarkEnd w:id="51"/>
    </w:p>
    <w:p w:rsidR="00365F48" w:rsidRPr="009931DC" w:rsidRDefault="00365F48" w:rsidP="009931DC">
      <w:pPr>
        <w:pStyle w:val="Text"/>
      </w:pPr>
    </w:p>
    <w:p w:rsidR="00365F48" w:rsidRDefault="00365F48" w:rsidP="00712019">
      <w:pPr>
        <w:pStyle w:val="Text"/>
        <w:jc w:val="both"/>
      </w:pPr>
      <w:r>
        <w:t>Hamburg, London and Italy report that the approval process takes approximately one year to complete. In the case of Milan, this is much longer than originally expected (i.e. 3 months), whereas in the case of London the organisation of the Olympic Games has added extra time to the whole process. Only London reports that approval costs were estimated around £50,000.</w:t>
      </w:r>
    </w:p>
    <w:p w:rsidR="00365F48" w:rsidRDefault="00365F48" w:rsidP="00843574">
      <w:pPr>
        <w:pStyle w:val="Text"/>
        <w:ind w:left="720"/>
      </w:pPr>
    </w:p>
    <w:tbl>
      <w:tblPr>
        <w:tblW w:w="7965" w:type="dxa"/>
        <w:tblInd w:w="6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6325"/>
        <w:gridCol w:w="1640"/>
      </w:tblGrid>
      <w:tr w:rsidR="00365F48" w:rsidRPr="009E2E69" w:rsidTr="009931DC">
        <w:trPr>
          <w:trHeight w:val="1770"/>
        </w:trPr>
        <w:tc>
          <w:tcPr>
            <w:tcW w:w="6325" w:type="dxa"/>
            <w:vAlign w:val="bottom"/>
          </w:tcPr>
          <w:p w:rsidR="00365F48" w:rsidRPr="009E2E69" w:rsidRDefault="00365F48" w:rsidP="009E2E69">
            <w:pPr>
              <w:rPr>
                <w:rFonts w:ascii="Calibri" w:hAnsi="Calibri" w:cs="Calibri"/>
                <w:color w:val="000000"/>
                <w:lang w:eastAsia="en-GB"/>
              </w:rPr>
            </w:pPr>
            <w:r w:rsidRPr="009E2E69">
              <w:rPr>
                <w:rFonts w:ascii="Calibri" w:hAnsi="Calibri" w:cs="Calibri"/>
                <w:color w:val="000000"/>
                <w:sz w:val="22"/>
                <w:szCs w:val="22"/>
                <w:lang w:eastAsia="en-GB"/>
              </w:rPr>
              <w:t>Approx. one year excluding preparation of documents. In case of H2station HafenCity the BimSchG has been applied. The documents will also presented to the public for a certain amount of time and everyone could oppose to the project if good reasons are given. The publication of the documents needs to be communicated well ahead, the duration in which the documents are publicly available is set by law.</w:t>
            </w:r>
          </w:p>
        </w:tc>
        <w:tc>
          <w:tcPr>
            <w:tcW w:w="1640" w:type="dxa"/>
            <w:noWrap/>
            <w:vAlign w:val="center"/>
          </w:tcPr>
          <w:p w:rsidR="00365F48" w:rsidRPr="009E2E69" w:rsidRDefault="00365F48" w:rsidP="009931DC">
            <w:pPr>
              <w:jc w:val="center"/>
              <w:rPr>
                <w:rFonts w:ascii="Calibri" w:hAnsi="Calibri" w:cs="Calibri"/>
                <w:color w:val="000000"/>
                <w:lang w:eastAsia="en-GB"/>
              </w:rPr>
            </w:pPr>
            <w:r w:rsidRPr="009E2E69">
              <w:rPr>
                <w:rFonts w:ascii="Calibri" w:hAnsi="Calibri" w:cs="Calibri"/>
                <w:color w:val="000000"/>
                <w:sz w:val="22"/>
                <w:szCs w:val="22"/>
                <w:lang w:eastAsia="en-GB"/>
              </w:rPr>
              <w:t>DE (Hamburg)</w:t>
            </w:r>
          </w:p>
        </w:tc>
      </w:tr>
      <w:tr w:rsidR="00365F48" w:rsidRPr="009E2E69" w:rsidTr="009931DC">
        <w:trPr>
          <w:trHeight w:val="885"/>
        </w:trPr>
        <w:tc>
          <w:tcPr>
            <w:tcW w:w="6325" w:type="dxa"/>
            <w:vAlign w:val="bottom"/>
          </w:tcPr>
          <w:p w:rsidR="00365F48" w:rsidRPr="009E2E69" w:rsidRDefault="00365F48" w:rsidP="009E2E69">
            <w:pPr>
              <w:rPr>
                <w:rFonts w:ascii="Calibri" w:hAnsi="Calibri" w:cs="Calibri"/>
                <w:color w:val="000000"/>
                <w:lang w:eastAsia="en-GB"/>
              </w:rPr>
            </w:pPr>
            <w:r w:rsidRPr="009E2E69">
              <w:rPr>
                <w:rFonts w:ascii="Calibri" w:hAnsi="Calibri" w:cs="Calibri"/>
                <w:color w:val="000000"/>
                <w:sz w:val="22"/>
                <w:szCs w:val="22"/>
                <w:lang w:eastAsia="en-GB"/>
              </w:rPr>
              <w:t xml:space="preserve">The approval process was very long and took over a year. This was mainly due to increased safety requirements imposed due to the Olympic Games 2012.  We had to wait for approval until after the Olympic Authority had agreed what needed to be built in the nearby vicinity of our station. Costs were approximately £50,000. </w:t>
            </w:r>
          </w:p>
        </w:tc>
        <w:tc>
          <w:tcPr>
            <w:tcW w:w="1640" w:type="dxa"/>
            <w:noWrap/>
            <w:vAlign w:val="center"/>
          </w:tcPr>
          <w:p w:rsidR="00365F48" w:rsidRPr="009E2E69" w:rsidRDefault="00365F48" w:rsidP="009931DC">
            <w:pPr>
              <w:jc w:val="center"/>
              <w:rPr>
                <w:rFonts w:ascii="Calibri" w:hAnsi="Calibri" w:cs="Calibri"/>
                <w:color w:val="000000"/>
                <w:lang w:eastAsia="en-GB"/>
              </w:rPr>
            </w:pPr>
            <w:r w:rsidRPr="009E2E69">
              <w:rPr>
                <w:rFonts w:ascii="Calibri" w:hAnsi="Calibri" w:cs="Calibri"/>
                <w:color w:val="000000"/>
                <w:sz w:val="22"/>
                <w:szCs w:val="22"/>
                <w:lang w:eastAsia="en-GB"/>
              </w:rPr>
              <w:t>UK (London)</w:t>
            </w:r>
          </w:p>
        </w:tc>
      </w:tr>
      <w:tr w:rsidR="00365F48" w:rsidRPr="009E2E69" w:rsidTr="009931DC">
        <w:trPr>
          <w:trHeight w:val="915"/>
        </w:trPr>
        <w:tc>
          <w:tcPr>
            <w:tcW w:w="6325" w:type="dxa"/>
            <w:vAlign w:val="center"/>
          </w:tcPr>
          <w:p w:rsidR="00365F48" w:rsidRPr="009E2E69" w:rsidRDefault="00365F48" w:rsidP="009E2E69">
            <w:pPr>
              <w:rPr>
                <w:rFonts w:ascii="Calibri" w:hAnsi="Calibri" w:cs="Calibri"/>
                <w:color w:val="000000"/>
                <w:lang w:eastAsia="en-GB"/>
              </w:rPr>
            </w:pPr>
            <w:r w:rsidRPr="009E2E69">
              <w:rPr>
                <w:rFonts w:ascii="Calibri" w:hAnsi="Calibri" w:cs="Calibri"/>
                <w:color w:val="000000"/>
                <w:sz w:val="22"/>
                <w:szCs w:val="22"/>
                <w:lang w:eastAsia="en-GB"/>
              </w:rPr>
              <w:t>The approval process has started in November 2011 and it’s still in progress; the initial approval process was calculated with only 3 months but now the duration foreseen is about 1 year. The costs of the approval process itself are not high. To get the approval the project ATM has to create additional detail drawings and several meetings with the different authorities and this are costs which you can add to approval costs.</w:t>
            </w:r>
          </w:p>
        </w:tc>
        <w:tc>
          <w:tcPr>
            <w:tcW w:w="1640" w:type="dxa"/>
            <w:noWrap/>
            <w:vAlign w:val="center"/>
          </w:tcPr>
          <w:p w:rsidR="00365F48" w:rsidRPr="009E2E69" w:rsidRDefault="00365F48" w:rsidP="009931DC">
            <w:pPr>
              <w:jc w:val="center"/>
              <w:rPr>
                <w:rFonts w:ascii="Calibri" w:hAnsi="Calibri" w:cs="Calibri"/>
                <w:color w:val="000000"/>
                <w:lang w:eastAsia="en-GB"/>
              </w:rPr>
            </w:pPr>
            <w:r w:rsidRPr="009E2E69">
              <w:rPr>
                <w:rFonts w:ascii="Calibri" w:hAnsi="Calibri" w:cs="Calibri"/>
                <w:color w:val="000000"/>
                <w:sz w:val="22"/>
                <w:szCs w:val="22"/>
                <w:lang w:eastAsia="en-GB"/>
              </w:rPr>
              <w:t>IT (Milan)</w:t>
            </w:r>
          </w:p>
        </w:tc>
      </w:tr>
      <w:tr w:rsidR="00365F48" w:rsidRPr="009E2E69" w:rsidTr="009931DC">
        <w:trPr>
          <w:trHeight w:val="315"/>
        </w:trPr>
        <w:tc>
          <w:tcPr>
            <w:tcW w:w="6325" w:type="dxa"/>
            <w:noWrap/>
            <w:vAlign w:val="bottom"/>
          </w:tcPr>
          <w:p w:rsidR="00365F48" w:rsidRPr="009E2E69" w:rsidRDefault="00365F48" w:rsidP="009E2E69">
            <w:pPr>
              <w:rPr>
                <w:rFonts w:ascii="Calibri" w:hAnsi="Calibri" w:cs="Calibri"/>
                <w:color w:val="000000"/>
                <w:lang w:eastAsia="en-GB"/>
              </w:rPr>
            </w:pPr>
            <w:r w:rsidRPr="009E2E69">
              <w:rPr>
                <w:rFonts w:ascii="Calibri" w:hAnsi="Calibri" w:cs="Calibri"/>
                <w:color w:val="000000"/>
                <w:sz w:val="22"/>
                <w:szCs w:val="22"/>
                <w:lang w:eastAsia="en-GB"/>
              </w:rPr>
              <w:t>Not yet known</w:t>
            </w:r>
          </w:p>
        </w:tc>
        <w:tc>
          <w:tcPr>
            <w:tcW w:w="1640" w:type="dxa"/>
            <w:noWrap/>
            <w:vAlign w:val="center"/>
          </w:tcPr>
          <w:p w:rsidR="00365F48" w:rsidRPr="009E2E69" w:rsidRDefault="00365F48" w:rsidP="009931DC">
            <w:pPr>
              <w:jc w:val="center"/>
              <w:rPr>
                <w:rFonts w:ascii="Calibri" w:hAnsi="Calibri" w:cs="Calibri"/>
                <w:color w:val="000000"/>
                <w:lang w:eastAsia="en-GB"/>
              </w:rPr>
            </w:pPr>
            <w:r w:rsidRPr="009E2E69">
              <w:rPr>
                <w:rFonts w:ascii="Calibri" w:hAnsi="Calibri" w:cs="Calibri"/>
                <w:color w:val="000000"/>
                <w:sz w:val="22"/>
                <w:szCs w:val="22"/>
                <w:lang w:eastAsia="en-GB"/>
              </w:rPr>
              <w:t>IT (Bolzano)</w:t>
            </w:r>
          </w:p>
        </w:tc>
      </w:tr>
    </w:tbl>
    <w:p w:rsidR="00365F48" w:rsidRDefault="00365F48" w:rsidP="009931DC">
      <w:pPr>
        <w:pStyle w:val="Heading1"/>
        <w:numPr>
          <w:ilvl w:val="0"/>
          <w:numId w:val="25"/>
        </w:numPr>
      </w:pPr>
      <w:r>
        <w:lastRenderedPageBreak/>
        <w:t xml:space="preserve"> </w:t>
      </w:r>
      <w:bookmarkStart w:id="52" w:name="_Toc339439413"/>
      <w:r w:rsidRPr="004642D4">
        <w:t>Certification of the buses</w:t>
      </w:r>
      <w:bookmarkEnd w:id="52"/>
    </w:p>
    <w:p w:rsidR="00365F48" w:rsidRPr="009931DC" w:rsidRDefault="00365F48" w:rsidP="00712019">
      <w:pPr>
        <w:pStyle w:val="Text"/>
        <w:jc w:val="both"/>
      </w:pPr>
    </w:p>
    <w:p w:rsidR="00365F48" w:rsidRDefault="00365F48" w:rsidP="00712019">
      <w:pPr>
        <w:pStyle w:val="Text"/>
        <w:jc w:val="both"/>
      </w:pPr>
      <w:r>
        <w:t xml:space="preserve">The second part of the survey focused on the homologation of the buses in Phase 1 Cities. </w:t>
      </w:r>
    </w:p>
    <w:p w:rsidR="00365F48" w:rsidRDefault="00365F48" w:rsidP="00712019">
      <w:pPr>
        <w:pStyle w:val="Text"/>
        <w:jc w:val="both"/>
      </w:pPr>
      <w:r>
        <w:t xml:space="preserve">Phase 1 Cities Bolzano, Milan and Oslo reported that the </w:t>
      </w:r>
      <w:r w:rsidRPr="00790A37">
        <w:t xml:space="preserve">EU Regulation 406/2010 of 26 April 2010 implementing Regulation (EC) No 79/2009 of the European Parliament and of the Council on type-approval of hydrogen-powered motor vehicles </w:t>
      </w:r>
      <w:r>
        <w:t xml:space="preserve">was </w:t>
      </w:r>
      <w:r w:rsidRPr="00790A37">
        <w:t>applied for the homologation of the buses</w:t>
      </w:r>
      <w:r>
        <w:t>.</w:t>
      </w:r>
    </w:p>
    <w:p w:rsidR="00365F48" w:rsidRDefault="00365F48" w:rsidP="00712019">
      <w:pPr>
        <w:pStyle w:val="Text"/>
        <w:jc w:val="both"/>
      </w:pPr>
      <w:r>
        <w:t>Additional national regulations on road safety were also applied in Oslo.</w:t>
      </w:r>
    </w:p>
    <w:p w:rsidR="00365F48" w:rsidRDefault="00365F48" w:rsidP="00712019">
      <w:pPr>
        <w:pStyle w:val="Text"/>
        <w:jc w:val="both"/>
      </w:pPr>
      <w:r>
        <w:t>However, in London t</w:t>
      </w:r>
      <w:r w:rsidRPr="00646BF1">
        <w:t>he first 5 hydrogen vehicles were certified under ‘special order’ dispensation from</w:t>
      </w:r>
      <w:r>
        <w:t xml:space="preserve"> UK’s Road Vehicles Regulations, whereas the 3 other vehicles were certified under the </w:t>
      </w:r>
      <w:r w:rsidRPr="00646BF1">
        <w:t>Individual Vehicle Approval 177879</w:t>
      </w:r>
      <w:r>
        <w:t>.</w:t>
      </w:r>
    </w:p>
    <w:p w:rsidR="00365F48" w:rsidRDefault="00365F48" w:rsidP="00712019">
      <w:pPr>
        <w:pStyle w:val="Text"/>
        <w:jc w:val="both"/>
      </w:pPr>
      <w:r>
        <w:t>In Aarau, buses were homologated in compliance with the road safety regulations (</w:t>
      </w:r>
      <w:r w:rsidRPr="006E12C1">
        <w:t>Stva Strassenverkehrs- und Schiffsamt</w:t>
      </w:r>
      <w:r>
        <w:t>).</w:t>
      </w:r>
    </w:p>
    <w:p w:rsidR="00365F48" w:rsidRDefault="00365F48" w:rsidP="00712019">
      <w:pPr>
        <w:pStyle w:val="Text"/>
        <w:jc w:val="both"/>
      </w:pPr>
      <w:r>
        <w:t>In Whistler, b</w:t>
      </w:r>
      <w:r w:rsidRPr="007D416B">
        <w:t xml:space="preserve">uses were </w:t>
      </w:r>
      <w:r>
        <w:t>homologated in compliance with</w:t>
      </w:r>
      <w:r w:rsidRPr="007D416B">
        <w:t xml:space="preserve"> SAE J2528 and 2529 as well as ISO standards 23273-1, 23273-2, and 23273-3</w:t>
      </w:r>
      <w:r>
        <w:t>.</w:t>
      </w:r>
    </w:p>
    <w:p w:rsidR="00365F48" w:rsidRDefault="00365F48" w:rsidP="00B202FF">
      <w:pPr>
        <w:pStyle w:val="Text"/>
        <w:jc w:val="both"/>
      </w:pPr>
      <w:r>
        <w:t xml:space="preserve">Furthermore, final approval of the </w:t>
      </w:r>
      <w:r w:rsidRPr="006E12C1">
        <w:t>British Columbia Commercial Vehicle Safety Enforcement (CVSE) was required before the buses could be insured and put into service. CVSE</w:t>
      </w:r>
      <w:r>
        <w:t xml:space="preserve"> also</w:t>
      </w:r>
      <w:r w:rsidRPr="006E12C1">
        <w:t xml:space="preserve"> required that a third party engineering report be produced to verify that the buses </w:t>
      </w:r>
      <w:r>
        <w:t>were</w:t>
      </w:r>
      <w:r w:rsidRPr="006E12C1">
        <w:t xml:space="preserve"> built to the specified standards</w:t>
      </w:r>
    </w:p>
    <w:p w:rsidR="00365F48" w:rsidRDefault="00365F48" w:rsidP="009931DC">
      <w:pPr>
        <w:pStyle w:val="Heading1"/>
        <w:numPr>
          <w:ilvl w:val="0"/>
          <w:numId w:val="0"/>
        </w:numPr>
        <w:ind w:left="432"/>
      </w:pPr>
      <w:bookmarkStart w:id="53" w:name="_Toc339439414"/>
      <w:r w:rsidRPr="004642D4">
        <w:lastRenderedPageBreak/>
        <w:t>Conclusions:</w:t>
      </w:r>
      <w:bookmarkEnd w:id="53"/>
    </w:p>
    <w:p w:rsidR="00365F48" w:rsidRPr="009931DC" w:rsidRDefault="00365F48" w:rsidP="009931DC">
      <w:pPr>
        <w:pStyle w:val="Text"/>
      </w:pPr>
    </w:p>
    <w:p w:rsidR="00365F48" w:rsidRPr="003F3ACF" w:rsidRDefault="00365F48" w:rsidP="00712019">
      <w:pPr>
        <w:spacing w:line="360" w:lineRule="auto"/>
        <w:jc w:val="both"/>
      </w:pPr>
      <w:r w:rsidRPr="003F3ACF">
        <w:t xml:space="preserve">Analysis of the permitting processes </w:t>
      </w:r>
      <w:r w:rsidR="005752A5">
        <w:t xml:space="preserve">and </w:t>
      </w:r>
      <w:r w:rsidR="003D1ABE">
        <w:t>the issuing authorities in the partner c</w:t>
      </w:r>
      <w:r w:rsidR="005752A5">
        <w:t xml:space="preserve">ities </w:t>
      </w:r>
      <w:r w:rsidRPr="003F3ACF">
        <w:t xml:space="preserve">shows </w:t>
      </w:r>
      <w:r w:rsidR="005752A5">
        <w:t xml:space="preserve">similarities in terms of the authorities </w:t>
      </w:r>
      <w:r w:rsidR="003D1ABE">
        <w:t>involved, and the permits issued.</w:t>
      </w:r>
    </w:p>
    <w:p w:rsidR="003D1ABE" w:rsidRDefault="003D1ABE" w:rsidP="00712019">
      <w:pPr>
        <w:spacing w:line="360" w:lineRule="auto"/>
        <w:jc w:val="both"/>
      </w:pPr>
      <w:r>
        <w:t>Th</w:t>
      </w:r>
      <w:r w:rsidR="00365F48" w:rsidRPr="003F3ACF">
        <w:t>e number of licences</w:t>
      </w:r>
      <w:r>
        <w:t xml:space="preserve"> (building, infrastructure operations</w:t>
      </w:r>
      <w:r w:rsidR="00E474B7">
        <w:t xml:space="preserve">, environmental and safety permits) and </w:t>
      </w:r>
      <w:r w:rsidR="00365F48" w:rsidRPr="003F3ACF">
        <w:t>the</w:t>
      </w:r>
      <w:r>
        <w:t xml:space="preserve"> duration of approval processes </w:t>
      </w:r>
      <w:r w:rsidR="00B37F7F">
        <w:t>vary</w:t>
      </w:r>
      <w:r>
        <w:t xml:space="preserve"> slightly.</w:t>
      </w:r>
      <w:r w:rsidR="00365F48" w:rsidRPr="003F3ACF">
        <w:t xml:space="preserve"> </w:t>
      </w:r>
    </w:p>
    <w:p w:rsidR="003D1ABE" w:rsidRDefault="003D1ABE" w:rsidP="00712019">
      <w:pPr>
        <w:spacing w:line="360" w:lineRule="auto"/>
        <w:jc w:val="both"/>
      </w:pPr>
    </w:p>
    <w:p w:rsidR="0038717D" w:rsidRDefault="00365F48" w:rsidP="00712019">
      <w:pPr>
        <w:spacing w:line="360" w:lineRule="auto"/>
        <w:jc w:val="both"/>
      </w:pPr>
      <w:r w:rsidRPr="003F3ACF">
        <w:t>Licensing hydrogen refuelling infrastructure was an elaborate activity in H</w:t>
      </w:r>
      <w:r w:rsidR="00B37F7F">
        <w:t>yFLEET:CUTE</w:t>
      </w:r>
      <w:r w:rsidR="003D1ABE">
        <w:t xml:space="preserve"> and HyApproval. The present exercise shows that </w:t>
      </w:r>
      <w:r w:rsidRPr="003F3ACF">
        <w:t xml:space="preserve">issues identified in previous experiences </w:t>
      </w:r>
      <w:r w:rsidR="003D1ABE">
        <w:t xml:space="preserve">have evolved </w:t>
      </w:r>
      <w:r w:rsidR="00E474B7">
        <w:t>since then</w:t>
      </w:r>
      <w:r w:rsidR="00EC45CC">
        <w:t xml:space="preserve"> in following way:</w:t>
      </w:r>
      <w:r w:rsidR="003D1ABE">
        <w:t xml:space="preserve"> </w:t>
      </w:r>
    </w:p>
    <w:p w:rsidR="0038717D" w:rsidRDefault="0038717D" w:rsidP="00712019">
      <w:pPr>
        <w:spacing w:line="360" w:lineRule="auto"/>
        <w:jc w:val="both"/>
      </w:pPr>
    </w:p>
    <w:p w:rsidR="00EC45CC" w:rsidRDefault="00EC45CC" w:rsidP="0038717D">
      <w:pPr>
        <w:pStyle w:val="ListParagraph"/>
        <w:numPr>
          <w:ilvl w:val="0"/>
          <w:numId w:val="26"/>
        </w:numPr>
        <w:spacing w:line="360" w:lineRule="auto"/>
        <w:jc w:val="both"/>
      </w:pPr>
      <w:r>
        <w:t>L</w:t>
      </w:r>
      <w:r w:rsidR="0038717D">
        <w:t>ess disparities between regions and cities in terms of permits approval processes</w:t>
      </w:r>
      <w:r>
        <w:t>;</w:t>
      </w:r>
    </w:p>
    <w:p w:rsidR="0038717D" w:rsidRDefault="00EC45CC" w:rsidP="0038717D">
      <w:pPr>
        <w:pStyle w:val="ListParagraph"/>
        <w:numPr>
          <w:ilvl w:val="0"/>
          <w:numId w:val="26"/>
        </w:numPr>
        <w:spacing w:line="360" w:lineRule="auto"/>
        <w:jc w:val="both"/>
      </w:pPr>
      <w:r>
        <w:t>International</w:t>
      </w:r>
      <w:r w:rsidR="0038717D">
        <w:t xml:space="preserve"> </w:t>
      </w:r>
      <w:r>
        <w:t xml:space="preserve">codes, </w:t>
      </w:r>
      <w:r w:rsidR="006A0856">
        <w:t>regulations and standards have been applied.</w:t>
      </w:r>
      <w:r>
        <w:t xml:space="preserve"> </w:t>
      </w:r>
    </w:p>
    <w:p w:rsidR="0038717D" w:rsidRDefault="0038717D" w:rsidP="00712019">
      <w:pPr>
        <w:spacing w:line="360" w:lineRule="auto"/>
        <w:jc w:val="both"/>
      </w:pPr>
    </w:p>
    <w:p w:rsidR="00365F48" w:rsidRDefault="003D1ABE" w:rsidP="00712019">
      <w:pPr>
        <w:spacing w:line="360" w:lineRule="auto"/>
        <w:jc w:val="both"/>
      </w:pPr>
      <w:r>
        <w:t xml:space="preserve">CHIC city partners report that </w:t>
      </w:r>
      <w:r w:rsidR="00E474B7">
        <w:t>regional</w:t>
      </w:r>
      <w:r>
        <w:t xml:space="preserve"> authorities</w:t>
      </w:r>
      <w:r w:rsidR="00E474B7">
        <w:t xml:space="preserve"> are issuing permits relevant to</w:t>
      </w:r>
      <w:r w:rsidR="008475AA">
        <w:t xml:space="preserve"> the infrastructure operations, while civil works are under </w:t>
      </w:r>
      <w:r w:rsidR="00B37F7F">
        <w:t>the supervision of local authorities. Furthermore, environmental and safety aspects in most cities fall under the responsibility of external agencies which are contracted to local authorities.</w:t>
      </w:r>
    </w:p>
    <w:p w:rsidR="00365F48" w:rsidRPr="003F3ACF" w:rsidRDefault="00365F48" w:rsidP="00712019">
      <w:pPr>
        <w:spacing w:line="360" w:lineRule="auto"/>
        <w:jc w:val="both"/>
      </w:pPr>
    </w:p>
    <w:p w:rsidR="008475AA" w:rsidRPr="003F3ACF" w:rsidRDefault="00E474B7" w:rsidP="008475AA">
      <w:pPr>
        <w:spacing w:line="360" w:lineRule="auto"/>
        <w:ind w:left="66"/>
        <w:jc w:val="both"/>
      </w:pPr>
      <w:r>
        <w:t>Althoug</w:t>
      </w:r>
      <w:r w:rsidR="008475AA">
        <w:t>h HyFLEET:CUTE and HyApproval as</w:t>
      </w:r>
      <w:r>
        <w:t xml:space="preserve">sessed </w:t>
      </w:r>
      <w:r w:rsidR="008475AA">
        <w:t xml:space="preserve">an </w:t>
      </w:r>
      <w:r>
        <w:t>a</w:t>
      </w:r>
      <w:r w:rsidR="00365F48" w:rsidRPr="003F3ACF">
        <w:t>bsence of recognised codes</w:t>
      </w:r>
      <w:r>
        <w:t xml:space="preserve"> of best practice and standards, </w:t>
      </w:r>
      <w:r w:rsidR="008475AA" w:rsidRPr="003F3ACF">
        <w:t>t</w:t>
      </w:r>
      <w:r w:rsidR="008475AA">
        <w:t>his exercise</w:t>
      </w:r>
      <w:r w:rsidR="008475AA" w:rsidRPr="003F3ACF">
        <w:t xml:space="preserve"> shows that all cities used the same technical standards (EU regulations) in addition to their local regulations. The standardisation procedures should facilitate companies to invest in the technology and develop hydrogen infrastructure.</w:t>
      </w:r>
    </w:p>
    <w:p w:rsidR="00365F48" w:rsidRDefault="00365F48" w:rsidP="002F5A31"/>
    <w:p w:rsidR="00365F48" w:rsidRDefault="00365F48" w:rsidP="002519A5"/>
    <w:p w:rsidR="00365F48" w:rsidRPr="006A0856" w:rsidRDefault="00365F48" w:rsidP="0061349A">
      <w:pPr>
        <w:jc w:val="both"/>
        <w:rPr>
          <w:color w:val="4C4C4C"/>
          <w:sz w:val="22"/>
          <w:szCs w:val="22"/>
        </w:rPr>
      </w:pPr>
      <w:r>
        <w:rPr>
          <w:color w:val="4C4C4C"/>
          <w:sz w:val="22"/>
          <w:szCs w:val="22"/>
          <w:lang w:val="en-US"/>
        </w:rPr>
        <w:br/>
      </w:r>
    </w:p>
    <w:sectPr w:rsidR="00365F48" w:rsidRPr="006A0856" w:rsidSect="004642D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70B" w:rsidRDefault="0029070B">
      <w:r>
        <w:separator/>
      </w:r>
    </w:p>
  </w:endnote>
  <w:endnote w:type="continuationSeparator" w:id="0">
    <w:p w:rsidR="0029070B" w:rsidRDefault="0029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48" w:rsidRPr="00384EF8" w:rsidRDefault="00504C1A" w:rsidP="002120C0">
    <w:pPr>
      <w:pStyle w:val="Footer"/>
      <w:spacing w:before="120"/>
      <w:rPr>
        <w:sz w:val="20"/>
        <w:szCs w:val="20"/>
      </w:rPr>
    </w:pPr>
    <w:r>
      <w:rPr>
        <w:noProof/>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-27940</wp:posOffset>
              </wp:positionH>
              <wp:positionV relativeFrom="paragraph">
                <wp:posOffset>55244</wp:posOffset>
              </wp:positionV>
              <wp:extent cx="58293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pt,4.35pt" to="45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Y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" strokeweight="1.5pt"/>
          </w:pict>
        </mc:Fallback>
      </mc:AlternateContent>
    </w:r>
    <w:r w:rsidR="00365F48" w:rsidRPr="00A40C37">
      <w:rPr>
        <w:sz w:val="20"/>
        <w:szCs w:val="20"/>
      </w:rPr>
      <w:t>Grant agreement no.</w:t>
    </w:r>
    <w:r w:rsidR="00365F48" w:rsidRPr="00A40C37">
      <w:rPr>
        <w:sz w:val="20"/>
        <w:szCs w:val="20"/>
      </w:rPr>
      <w:tab/>
    </w:r>
    <w:r w:rsidR="004360D4" w:rsidRPr="00A40C37">
      <w:rPr>
        <w:rStyle w:val="PageNumber"/>
        <w:rFonts w:cs="Arial"/>
        <w:sz w:val="20"/>
        <w:szCs w:val="20"/>
      </w:rPr>
      <w:fldChar w:fldCharType="begin"/>
    </w:r>
    <w:r w:rsidR="00365F48" w:rsidRPr="00A40C37">
      <w:rPr>
        <w:rStyle w:val="PageNumber"/>
        <w:rFonts w:cs="Arial"/>
        <w:sz w:val="20"/>
        <w:szCs w:val="20"/>
      </w:rPr>
      <w:instrText xml:space="preserve"> PAGE </w:instrText>
    </w:r>
    <w:r w:rsidR="004360D4" w:rsidRPr="00A40C37">
      <w:rPr>
        <w:rStyle w:val="PageNumber"/>
        <w:rFonts w:cs="Arial"/>
        <w:sz w:val="20"/>
        <w:szCs w:val="20"/>
      </w:rPr>
      <w:fldChar w:fldCharType="separate"/>
    </w:r>
    <w:r>
      <w:rPr>
        <w:rStyle w:val="PageNumber"/>
        <w:rFonts w:cs="Arial"/>
        <w:noProof/>
        <w:sz w:val="20"/>
        <w:szCs w:val="20"/>
      </w:rPr>
      <w:t>4</w:t>
    </w:r>
    <w:r w:rsidR="004360D4" w:rsidRPr="00A40C37">
      <w:rPr>
        <w:rStyle w:val="PageNumber"/>
        <w:rFonts w:cs="Arial"/>
        <w:sz w:val="20"/>
        <w:szCs w:val="20"/>
      </w:rPr>
      <w:fldChar w:fldCharType="end"/>
    </w:r>
    <w:r w:rsidR="00365F48" w:rsidRPr="00A40C37">
      <w:rPr>
        <w:rStyle w:val="PageNumber"/>
        <w:rFonts w:cs="Arial"/>
        <w:sz w:val="20"/>
        <w:szCs w:val="20"/>
      </w:rPr>
      <w:t>/</w:t>
    </w:r>
    <w:r w:rsidR="004360D4" w:rsidRPr="00A40C37">
      <w:rPr>
        <w:rStyle w:val="PageNumber"/>
        <w:rFonts w:cs="Arial"/>
        <w:sz w:val="20"/>
        <w:szCs w:val="20"/>
      </w:rPr>
      <w:fldChar w:fldCharType="begin"/>
    </w:r>
    <w:r w:rsidR="00365F48" w:rsidRPr="00A40C37">
      <w:rPr>
        <w:rStyle w:val="PageNumber"/>
        <w:rFonts w:cs="Arial"/>
        <w:sz w:val="20"/>
        <w:szCs w:val="20"/>
      </w:rPr>
      <w:instrText xml:space="preserve"> NUMPAGES </w:instrText>
    </w:r>
    <w:r w:rsidR="004360D4" w:rsidRPr="00A40C37">
      <w:rPr>
        <w:rStyle w:val="PageNumber"/>
        <w:rFonts w:cs="Arial"/>
        <w:sz w:val="20"/>
        <w:szCs w:val="20"/>
      </w:rPr>
      <w:fldChar w:fldCharType="separate"/>
    </w:r>
    <w:r>
      <w:rPr>
        <w:rStyle w:val="PageNumber"/>
        <w:rFonts w:cs="Arial"/>
        <w:noProof/>
        <w:sz w:val="20"/>
        <w:szCs w:val="20"/>
      </w:rPr>
      <w:t>23</w:t>
    </w:r>
    <w:r w:rsidR="004360D4" w:rsidRPr="00A40C37">
      <w:rPr>
        <w:rStyle w:val="PageNumber"/>
        <w:rFonts w:cs="Arial"/>
        <w:sz w:val="20"/>
        <w:szCs w:val="20"/>
      </w:rPr>
      <w:fldChar w:fldCharType="end"/>
    </w:r>
    <w:r w:rsidR="00365F48" w:rsidRPr="00A40C37">
      <w:rPr>
        <w:rStyle w:val="PageNumber"/>
        <w:rFonts w:cs="Arial"/>
        <w:sz w:val="20"/>
        <w:szCs w:val="20"/>
      </w:rPr>
      <w:tab/>
    </w:r>
    <w:r w:rsidR="00365F48">
      <w:rPr>
        <w:rStyle w:val="PageNumber"/>
        <w:rFonts w:cs="Arial"/>
        <w:sz w:val="20"/>
        <w:szCs w:val="20"/>
      </w:rPr>
      <w:t>11</w:t>
    </w:r>
    <w:r w:rsidR="00365F48" w:rsidRPr="00A40C37">
      <w:rPr>
        <w:rStyle w:val="PageNumber"/>
        <w:rFonts w:cs="Arial"/>
        <w:sz w:val="20"/>
        <w:szCs w:val="20"/>
      </w:rPr>
      <w:t>10.2012</w:t>
    </w:r>
    <w:r w:rsidR="00365F48" w:rsidRPr="00A40C37">
      <w:rPr>
        <w:rStyle w:val="PageNumber"/>
        <w:rFonts w:cs="Arial"/>
        <w:sz w:val="20"/>
        <w:szCs w:val="20"/>
      </w:rPr>
      <w:br/>
    </w:r>
    <w:r w:rsidR="00365F48" w:rsidRPr="00A40C37">
      <w:rPr>
        <w:sz w:val="20"/>
        <w:szCs w:val="20"/>
      </w:rPr>
      <w:t>256848</w:t>
    </w:r>
    <w:r w:rsidR="00365F48" w:rsidRPr="00384EF8">
      <w:rPr>
        <w:sz w:val="20"/>
        <w:szCs w:val="20"/>
      </w:rPr>
      <w:tab/>
    </w:r>
    <w:r w:rsidR="00365F48" w:rsidRPr="00384EF8">
      <w:rPr>
        <w:rStyle w:val="PageNumbe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70B" w:rsidRDefault="0029070B">
      <w:r>
        <w:separator/>
      </w:r>
    </w:p>
  </w:footnote>
  <w:footnote w:type="continuationSeparator" w:id="0">
    <w:p w:rsidR="0029070B" w:rsidRDefault="0029070B">
      <w:r>
        <w:continuationSeparator/>
      </w:r>
    </w:p>
  </w:footnote>
  <w:footnote w:id="1">
    <w:p w:rsidR="00365F48" w:rsidRPr="008C27EC" w:rsidRDefault="00365F48" w:rsidP="008C27EC">
      <w:pPr>
        <w:pStyle w:val="FootnoteText"/>
      </w:pPr>
      <w:r>
        <w:rPr>
          <w:rStyle w:val="FootnoteReference"/>
        </w:rPr>
        <w:footnoteRef/>
      </w:r>
      <w:r>
        <w:t xml:space="preserve"> </w:t>
      </w:r>
      <w:r w:rsidRPr="008C27EC">
        <w:t>ISO TC197, particularly to WG11 “Gaseous hydrogen</w:t>
      </w:r>
      <w:r>
        <w:t xml:space="preserve">, </w:t>
      </w:r>
      <w:r w:rsidRPr="008C27EC">
        <w:t>ISO/DTS 20012</w:t>
      </w:r>
    </w:p>
    <w:p w:rsidR="00365F48" w:rsidRDefault="00365F48" w:rsidP="008C27EC">
      <w:pPr>
        <w:pStyle w:val="FootnoteText"/>
      </w:pPr>
    </w:p>
  </w:footnote>
  <w:footnote w:id="2">
    <w:p w:rsidR="00365F48" w:rsidRDefault="00365F48" w:rsidP="003F3ACF">
      <w:pPr>
        <w:pStyle w:val="FootnoteText"/>
      </w:pPr>
      <w:r>
        <w:rPr>
          <w:rStyle w:val="FootnoteReference"/>
        </w:rPr>
        <w:footnoteRef/>
      </w:r>
      <w:r>
        <w:t xml:space="preserve"> </w:t>
      </w:r>
      <w:hyperlink r:id="rId1" w:history="1">
        <w:r>
          <w:rPr>
            <w:rStyle w:val="Hyperlink"/>
          </w:rPr>
          <w:t>http://www.hyapproval.org/main1.html</w:t>
        </w:r>
      </w:hyperlink>
    </w:p>
  </w:footnote>
  <w:footnote w:id="3">
    <w:p w:rsidR="00365F48" w:rsidRDefault="00365F48">
      <w:pPr>
        <w:pStyle w:val="FootnoteText"/>
      </w:pPr>
      <w:r>
        <w:rPr>
          <w:rStyle w:val="FootnoteReference"/>
        </w:rPr>
        <w:footnoteRef/>
      </w:r>
      <w:r>
        <w:t xml:space="preserve"> </w:t>
      </w:r>
      <w:hyperlink r:id="rId2" w:history="1">
        <w:r w:rsidRPr="00C80D6D">
          <w:rPr>
            <w:rStyle w:val="Hyperlink"/>
          </w:rPr>
          <w:t>http://www.h2fcc.ca/files/H2%20Permitting%20Guide%20-%20Rev.%204.1%20%5BEN%5D%20%2804.15.2008%29.pdf</w:t>
        </w:r>
      </w:hyperlink>
    </w:p>
    <w:p w:rsidR="00365F48" w:rsidRDefault="00365F48">
      <w:pPr>
        <w:pStyle w:val="FootnoteText"/>
      </w:pPr>
    </w:p>
  </w:footnote>
  <w:footnote w:id="4">
    <w:p w:rsidR="00365F48" w:rsidRDefault="00365F48">
      <w:pPr>
        <w:pStyle w:val="FootnoteText"/>
      </w:pPr>
      <w:r>
        <w:rPr>
          <w:rStyle w:val="FootnoteReference"/>
        </w:rPr>
        <w:footnoteRef/>
      </w:r>
      <w:r>
        <w:t xml:space="preserve"> </w:t>
      </w:r>
      <w:r w:rsidRPr="00581295">
        <w:t xml:space="preserve">Plan og byggningsloven” (law on building permits  “Brann og eksplosjonsvernsloven” with further Regulations (law on fire and safety measurements)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48" w:rsidRPr="00D5521E" w:rsidRDefault="00504C1A" w:rsidP="0074713F">
    <w:pPr>
      <w:pStyle w:val="Header"/>
      <w:tabs>
        <w:tab w:val="clear" w:pos="9072"/>
        <w:tab w:val="right" w:pos="9180"/>
      </w:tabs>
      <w:spacing w:after="300"/>
      <w:ind w:right="792"/>
      <w:rPr>
        <w:b/>
        <w:bCs/>
      </w:rPr>
    </w:pPr>
    <w:r>
      <w:rPr>
        <w:noProof/>
        <w:lang w:eastAsia="en-GB"/>
      </w:rPr>
      <mc:AlternateContent>
        <mc:Choice Requires="wps">
          <w:drawing>
            <wp:anchor distT="4294967295" distB="4294967295" distL="114300" distR="114300" simplePos="0" relativeHeight="251656704" behindDoc="0" locked="0" layoutInCell="1" allowOverlap="1">
              <wp:simplePos x="0" y="0"/>
              <wp:positionH relativeFrom="column">
                <wp:posOffset>19050</wp:posOffset>
              </wp:positionH>
              <wp:positionV relativeFrom="paragraph">
                <wp:posOffset>836294</wp:posOffset>
              </wp:positionV>
              <wp:extent cx="5829300" cy="0"/>
              <wp:effectExtent l="0" t="0" r="19050" b="1905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5.85pt" to="460.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kv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" strokeweight="1.5pt"/>
          </w:pict>
        </mc:Fallback>
      </mc:AlternateContent>
    </w:r>
    <w:r w:rsidR="00040E14">
      <w:rPr>
        <w:noProof/>
        <w:lang w:eastAsia="en-GB"/>
      </w:rPr>
      <w:drawing>
        <wp:inline distT="0" distB="0" distL="0" distR="0">
          <wp:extent cx="790575" cy="295275"/>
          <wp:effectExtent l="19050" t="0" r="9525" b="0"/>
          <wp:docPr id="2" name="Picture 12" descr="Neues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ues Bild"/>
                  <pic:cNvPicPr>
                    <a:picLocks noChangeAspect="1" noChangeArrowheads="1"/>
                  </pic:cNvPicPr>
                </pic:nvPicPr>
                <pic:blipFill>
                  <a:blip r:embed="rId1"/>
                  <a:srcRect/>
                  <a:stretch>
                    <a:fillRect/>
                  </a:stretch>
                </pic:blipFill>
                <pic:spPr bwMode="auto">
                  <a:xfrm>
                    <a:off x="0" y="0"/>
                    <a:ext cx="790575" cy="295275"/>
                  </a:xfrm>
                  <a:prstGeom prst="rect">
                    <a:avLst/>
                  </a:prstGeom>
                  <a:noFill/>
                  <a:ln w="9525">
                    <a:noFill/>
                    <a:miter lim="800000"/>
                    <a:headEnd/>
                    <a:tailEnd/>
                  </a:ln>
                </pic:spPr>
              </pic:pic>
            </a:graphicData>
          </a:graphic>
        </wp:inline>
      </w:drawing>
    </w:r>
    <w:r w:rsidR="00040E14">
      <w:rPr>
        <w:noProof/>
        <w:lang w:eastAsia="en-GB"/>
      </w:rPr>
      <w:drawing>
        <wp:anchor distT="0" distB="0" distL="114300" distR="114300" simplePos="0" relativeHeight="251658752" behindDoc="0" locked="0" layoutInCell="1" allowOverlap="1">
          <wp:simplePos x="0" y="0"/>
          <wp:positionH relativeFrom="column">
            <wp:posOffset>5274945</wp:posOffset>
          </wp:positionH>
          <wp:positionV relativeFrom="paragraph">
            <wp:posOffset>31750</wp:posOffset>
          </wp:positionV>
          <wp:extent cx="459105" cy="309245"/>
          <wp:effectExtent l="19050" t="0" r="0" b="0"/>
          <wp:wrapNone/>
          <wp:docPr id="1" name="Picture 4" descr="http://www.akl.lt/images/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kl.lt/images/EU-logo.jpg"/>
                  <pic:cNvPicPr>
                    <a:picLocks noChangeAspect="1" noChangeArrowheads="1"/>
                  </pic:cNvPicPr>
                </pic:nvPicPr>
                <pic:blipFill>
                  <a:blip r:embed="rId2"/>
                  <a:srcRect/>
                  <a:stretch>
                    <a:fillRect/>
                  </a:stretch>
                </pic:blipFill>
                <pic:spPr bwMode="auto">
                  <a:xfrm>
                    <a:off x="0" y="0"/>
                    <a:ext cx="459105" cy="309245"/>
                  </a:xfrm>
                  <a:prstGeom prst="rect">
                    <a:avLst/>
                  </a:prstGeom>
                  <a:noFill/>
                </pic:spPr>
              </pic:pic>
            </a:graphicData>
          </a:graphic>
        </wp:anchor>
      </w:drawing>
    </w:r>
    <w:r w:rsidR="00365F48">
      <w:tab/>
      <w:t xml:space="preserve"> &lt;D 4.3</w:t>
    </w:r>
    <w:r w:rsidR="00365F48" w:rsidRPr="00D5521E">
      <w:t xml:space="preserve"> </w:t>
    </w:r>
    <w:r w:rsidR="00365F48">
      <w:t>–</w:t>
    </w:r>
    <w:r w:rsidR="00365F48">
      <w:rPr>
        <w:b/>
      </w:rPr>
      <w:t xml:space="preserve"> </w:t>
    </w:r>
    <w:r w:rsidR="00365F48" w:rsidRPr="0074713F">
      <w:t>Report collecting the experience from the Phase 0 and Phase 1 cities with respect to certification of the buses &amp; H2 refuelling infrastructure</w:t>
    </w:r>
    <w:r w:rsidR="00365F48" w:rsidRPr="0074713F">
      <w:rPr>
        <w:b/>
      </w:rPr>
      <w:t xml:space="preserve"> </w:t>
    </w:r>
    <w:r w:rsidR="00365F48" w:rsidRPr="00D5521E">
      <w:rPr>
        <w:bCs/>
      </w:rPr>
      <w:t>&gt;</w:t>
    </w:r>
  </w:p>
  <w:p w:rsidR="00365F48" w:rsidRPr="00D5521E" w:rsidRDefault="00365F48" w:rsidP="00EA1745">
    <w:pPr>
      <w:pStyle w:val="Header"/>
      <w:spacing w:before="240" w:after="300"/>
    </w:pPr>
    <w:r w:rsidRPr="00D552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46E"/>
    <w:multiLevelType w:val="hybridMultilevel"/>
    <w:tmpl w:val="AE1A87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B5E4D4C"/>
    <w:multiLevelType w:val="multilevel"/>
    <w:tmpl w:val="E30C002C"/>
    <w:lvl w:ilvl="0">
      <w:start w:val="1"/>
      <w:numFmt w:val="decimal"/>
      <w:lvlText w:val="%1."/>
      <w:lvlJc w:val="left"/>
      <w:pPr>
        <w:ind w:left="720" w:hanging="360"/>
      </w:pPr>
      <w:rPr>
        <w:rFonts w:cs="Times New Roman"/>
      </w:rPr>
    </w:lvl>
    <w:lvl w:ilvl="1">
      <w:start w:val="1"/>
      <w:numFmt w:val="decimal"/>
      <w:isLgl/>
      <w:lvlText w:val="%1.%2"/>
      <w:lvlJc w:val="left"/>
      <w:pPr>
        <w:ind w:left="1394" w:hanging="390"/>
      </w:pPr>
      <w:rPr>
        <w:rFonts w:cs="Times New Roman" w:hint="default"/>
      </w:rPr>
    </w:lvl>
    <w:lvl w:ilvl="2">
      <w:start w:val="1"/>
      <w:numFmt w:val="decimal"/>
      <w:isLgl/>
      <w:lvlText w:val="%1.%2.%3"/>
      <w:lvlJc w:val="left"/>
      <w:pPr>
        <w:ind w:left="2368" w:hanging="720"/>
      </w:pPr>
      <w:rPr>
        <w:rFonts w:cs="Times New Roman" w:hint="default"/>
      </w:rPr>
    </w:lvl>
    <w:lvl w:ilvl="3">
      <w:start w:val="1"/>
      <w:numFmt w:val="decimal"/>
      <w:isLgl/>
      <w:lvlText w:val="%1.%2.%3.%4"/>
      <w:lvlJc w:val="left"/>
      <w:pPr>
        <w:ind w:left="3372" w:hanging="1080"/>
      </w:pPr>
      <w:rPr>
        <w:rFonts w:cs="Times New Roman" w:hint="default"/>
      </w:rPr>
    </w:lvl>
    <w:lvl w:ilvl="4">
      <w:start w:val="1"/>
      <w:numFmt w:val="decimal"/>
      <w:isLgl/>
      <w:lvlText w:val="%1.%2.%3.%4.%5"/>
      <w:lvlJc w:val="left"/>
      <w:pPr>
        <w:ind w:left="4016" w:hanging="1080"/>
      </w:pPr>
      <w:rPr>
        <w:rFonts w:cs="Times New Roman" w:hint="default"/>
      </w:rPr>
    </w:lvl>
    <w:lvl w:ilvl="5">
      <w:start w:val="1"/>
      <w:numFmt w:val="decimal"/>
      <w:isLgl/>
      <w:lvlText w:val="%1.%2.%3.%4.%5.%6"/>
      <w:lvlJc w:val="left"/>
      <w:pPr>
        <w:ind w:left="5020" w:hanging="1440"/>
      </w:pPr>
      <w:rPr>
        <w:rFonts w:cs="Times New Roman" w:hint="default"/>
      </w:rPr>
    </w:lvl>
    <w:lvl w:ilvl="6">
      <w:start w:val="1"/>
      <w:numFmt w:val="decimal"/>
      <w:isLgl/>
      <w:lvlText w:val="%1.%2.%3.%4.%5.%6.%7"/>
      <w:lvlJc w:val="left"/>
      <w:pPr>
        <w:ind w:left="5664" w:hanging="1440"/>
      </w:pPr>
      <w:rPr>
        <w:rFonts w:cs="Times New Roman" w:hint="default"/>
      </w:rPr>
    </w:lvl>
    <w:lvl w:ilvl="7">
      <w:start w:val="1"/>
      <w:numFmt w:val="decimal"/>
      <w:isLgl/>
      <w:lvlText w:val="%1.%2.%3.%4.%5.%6.%7.%8"/>
      <w:lvlJc w:val="left"/>
      <w:pPr>
        <w:ind w:left="6668" w:hanging="1800"/>
      </w:pPr>
      <w:rPr>
        <w:rFonts w:cs="Times New Roman" w:hint="default"/>
      </w:rPr>
    </w:lvl>
    <w:lvl w:ilvl="8">
      <w:start w:val="1"/>
      <w:numFmt w:val="decimal"/>
      <w:isLgl/>
      <w:lvlText w:val="%1.%2.%3.%4.%5.%6.%7.%8.%9"/>
      <w:lvlJc w:val="left"/>
      <w:pPr>
        <w:ind w:left="7312" w:hanging="1800"/>
      </w:pPr>
      <w:rPr>
        <w:rFonts w:cs="Times New Roman" w:hint="default"/>
      </w:rPr>
    </w:lvl>
  </w:abstractNum>
  <w:abstractNum w:abstractNumId="2">
    <w:nsid w:val="0F363621"/>
    <w:multiLevelType w:val="hybridMultilevel"/>
    <w:tmpl w:val="98CEB7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F835910"/>
    <w:multiLevelType w:val="multilevel"/>
    <w:tmpl w:val="40240A1A"/>
    <w:lvl w:ilvl="0">
      <w:start w:val="1"/>
      <w:numFmt w:val="decimal"/>
      <w:pStyle w:val="AnnexLevel1"/>
      <w:lvlText w:val="Annex %1"/>
      <w:lvlJc w:val="left"/>
      <w:pPr>
        <w:tabs>
          <w:tab w:val="num" w:pos="0"/>
        </w:tabs>
      </w:pPr>
      <w:rPr>
        <w:rFonts w:ascii="Arial" w:hAnsi="Arial" w:cs="Times New Roman" w:hint="default"/>
        <w:b/>
        <w:i w:val="0"/>
        <w:sz w:val="28"/>
        <w:szCs w:val="28"/>
        <w:u w:val="none"/>
      </w:rPr>
    </w:lvl>
    <w:lvl w:ilvl="1">
      <w:start w:val="1"/>
      <w:numFmt w:val="decimal"/>
      <w:pStyle w:val="AnnexLevel2"/>
      <w:lvlText w:val="%1.%2"/>
      <w:lvlJc w:val="left"/>
      <w:pPr>
        <w:tabs>
          <w:tab w:val="num" w:pos="567"/>
        </w:tabs>
      </w:pPr>
      <w:rPr>
        <w:rFonts w:ascii="Times New Roman" w:hAnsi="Times New Roman" w:cs="Times New Roman" w:hint="default"/>
        <w:b/>
        <w:i w:val="0"/>
        <w:sz w:val="24"/>
        <w:u w:val="none"/>
      </w:rPr>
    </w:lvl>
    <w:lvl w:ilvl="2">
      <w:start w:val="1"/>
      <w:numFmt w:val="decimal"/>
      <w:lvlText w:val="%1.%2.%3"/>
      <w:lvlJc w:val="left"/>
      <w:pPr>
        <w:tabs>
          <w:tab w:val="num" w:pos="0"/>
        </w:tabs>
      </w:pPr>
      <w:rPr>
        <w:rFonts w:ascii="Times New Roman" w:hAnsi="Times New Roman" w:cs="Times New Roman" w:hint="default"/>
        <w:b/>
        <w:i w:val="0"/>
        <w:sz w:val="24"/>
        <w:u w:val="none"/>
      </w:rPr>
    </w:lvl>
    <w:lvl w:ilvl="3">
      <w:start w:val="1"/>
      <w:numFmt w:val="decimal"/>
      <w:lvlText w:val="%1.%2.%3.%4"/>
      <w:lvlJc w:val="left"/>
      <w:pPr>
        <w:tabs>
          <w:tab w:val="num" w:pos="0"/>
        </w:tabs>
      </w:pPr>
      <w:rPr>
        <w:rFonts w:ascii="Times New Roman" w:hAnsi="Times New Roman" w:cs="Times New Roman" w:hint="default"/>
        <w:b/>
        <w:i w:val="0"/>
        <w:sz w:val="24"/>
        <w:u w:val="none"/>
      </w:rPr>
    </w:lvl>
    <w:lvl w:ilvl="4">
      <w:start w:val="1"/>
      <w:numFmt w:val="decimal"/>
      <w:lvlText w:val="%1.%2.%3.%4.%5"/>
      <w:lvlJc w:val="left"/>
      <w:pPr>
        <w:tabs>
          <w:tab w:val="num" w:pos="0"/>
        </w:tabs>
      </w:pPr>
      <w:rPr>
        <w:rFonts w:ascii="Times New Roman" w:hAnsi="Times New Roman" w:cs="Times New Roman" w:hint="default"/>
        <w:b/>
        <w:i w:val="0"/>
        <w:sz w:val="24"/>
        <w:u w:val="none"/>
      </w:rPr>
    </w:lvl>
    <w:lvl w:ilvl="5">
      <w:start w:val="1"/>
      <w:numFmt w:val="decimal"/>
      <w:lvlText w:val="%1.%2.%3.%4.%5.%6"/>
      <w:lvlJc w:val="left"/>
      <w:pPr>
        <w:tabs>
          <w:tab w:val="num" w:pos="0"/>
        </w:tabs>
      </w:pPr>
      <w:rPr>
        <w:rFonts w:ascii="Times New Roman" w:hAnsi="Times New Roman" w:cs="Times New Roman" w:hint="default"/>
        <w:b/>
        <w:i w:val="0"/>
        <w:sz w:val="24"/>
        <w:u w:val="none"/>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
    <w:nsid w:val="13D17BEF"/>
    <w:multiLevelType w:val="multilevel"/>
    <w:tmpl w:val="883E2528"/>
    <w:lvl w:ilvl="0">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4C920B8"/>
    <w:multiLevelType w:val="hybridMultilevel"/>
    <w:tmpl w:val="BEBA656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D0B5B51"/>
    <w:multiLevelType w:val="hybridMultilevel"/>
    <w:tmpl w:val="313ADBBA"/>
    <w:lvl w:ilvl="0" w:tplc="08130015">
      <w:start w:val="1"/>
      <w:numFmt w:val="upp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nsid w:val="1E600076"/>
    <w:multiLevelType w:val="hybridMultilevel"/>
    <w:tmpl w:val="9C9220B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3E4096E"/>
    <w:multiLevelType w:val="hybridMultilevel"/>
    <w:tmpl w:val="40E02246"/>
    <w:lvl w:ilvl="0" w:tplc="A7AC2516">
      <w:start w:val="1"/>
      <w:numFmt w:val="decimal"/>
      <w:lvlText w:val="%1."/>
      <w:lvlJc w:val="left"/>
      <w:pPr>
        <w:ind w:left="1004" w:hanging="360"/>
      </w:pPr>
      <w:rPr>
        <w:rFonts w:cs="Times New Roman" w:hint="default"/>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9">
    <w:nsid w:val="34D2177F"/>
    <w:multiLevelType w:val="hybridMultilevel"/>
    <w:tmpl w:val="9FD8CDF6"/>
    <w:lvl w:ilvl="0" w:tplc="08130015">
      <w:start w:val="1"/>
      <w:numFmt w:val="upp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0">
    <w:nsid w:val="418E2C1B"/>
    <w:multiLevelType w:val="hybridMultilevel"/>
    <w:tmpl w:val="342CC262"/>
    <w:lvl w:ilvl="0" w:tplc="81EA5660">
      <w:start w:val="4"/>
      <w:numFmt w:val="bullet"/>
      <w:lvlText w:val=""/>
      <w:lvlJc w:val="left"/>
      <w:pPr>
        <w:ind w:left="720" w:hanging="360"/>
      </w:pPr>
      <w:rPr>
        <w:rFonts w:ascii="Wingdings" w:eastAsia="Times New Roman" w:hAnsi="Wingdings"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F1BB2"/>
    <w:multiLevelType w:val="hybridMultilevel"/>
    <w:tmpl w:val="65C48C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5C3B1CD2"/>
    <w:multiLevelType w:val="hybridMultilevel"/>
    <w:tmpl w:val="D4E04B66"/>
    <w:lvl w:ilvl="0" w:tplc="0410000F">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E4D7727"/>
    <w:multiLevelType w:val="hybridMultilevel"/>
    <w:tmpl w:val="D24C3FCE"/>
    <w:lvl w:ilvl="0" w:tplc="FCC241EE">
      <w:start w:val="1"/>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732346"/>
    <w:multiLevelType w:val="multilevel"/>
    <w:tmpl w:val="FE02570A"/>
    <w:lvl w:ilvl="0">
      <w:start w:val="3"/>
      <w:numFmt w:val="decimal"/>
      <w:lvlText w:val="%1"/>
      <w:lvlJc w:val="left"/>
      <w:pPr>
        <w:ind w:left="360" w:hanging="360"/>
      </w:pPr>
      <w:rPr>
        <w:rFonts w:cs="Times New Roman" w:hint="default"/>
      </w:rPr>
    </w:lvl>
    <w:lvl w:ilvl="1">
      <w:start w:val="1"/>
      <w:numFmt w:val="decimal"/>
      <w:lvlText w:val="%1.%2"/>
      <w:lvlJc w:val="left"/>
      <w:pPr>
        <w:ind w:left="1004" w:hanging="36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3012" w:hanging="108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660" w:hanging="144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6308" w:hanging="1800"/>
      </w:pPr>
      <w:rPr>
        <w:rFonts w:cs="Times New Roman" w:hint="default"/>
      </w:rPr>
    </w:lvl>
    <w:lvl w:ilvl="8">
      <w:start w:val="1"/>
      <w:numFmt w:val="decimal"/>
      <w:lvlText w:val="%1.%2.%3.%4.%5.%6.%7.%8.%9"/>
      <w:lvlJc w:val="left"/>
      <w:pPr>
        <w:ind w:left="6952" w:hanging="1800"/>
      </w:pPr>
      <w:rPr>
        <w:rFonts w:cs="Times New Roman" w:hint="default"/>
      </w:rPr>
    </w:lvl>
  </w:abstractNum>
  <w:abstractNum w:abstractNumId="15">
    <w:nsid w:val="5EEE11C0"/>
    <w:multiLevelType w:val="hybridMultilevel"/>
    <w:tmpl w:val="462690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5F812C78"/>
    <w:multiLevelType w:val="hybridMultilevel"/>
    <w:tmpl w:val="085E48A6"/>
    <w:lvl w:ilvl="0" w:tplc="08090015">
      <w:start w:val="1"/>
      <w:numFmt w:val="upperLetter"/>
      <w:lvlText w:val="%1."/>
      <w:lvlJc w:val="left"/>
      <w:pPr>
        <w:ind w:left="720" w:hanging="360"/>
      </w:pPr>
      <w:rPr>
        <w:rFonts w:cs="Times New Roman" w:hint="default"/>
      </w:rPr>
    </w:lvl>
    <w:lvl w:ilvl="1" w:tplc="5C50FE62">
      <w:numFmt w:val="bullet"/>
      <w:lvlText w:val=""/>
      <w:lvlJc w:val="left"/>
      <w:pPr>
        <w:ind w:left="1440" w:hanging="360"/>
      </w:pPr>
      <w:rPr>
        <w:rFonts w:ascii="Arial" w:eastAsia="Times New Roman" w:hAnsi="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658E37E7"/>
    <w:multiLevelType w:val="hybridMultilevel"/>
    <w:tmpl w:val="EF288EE0"/>
    <w:lvl w:ilvl="0" w:tplc="0410000F">
      <w:start w:val="4"/>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680E363C"/>
    <w:multiLevelType w:val="hybridMultilevel"/>
    <w:tmpl w:val="AAC6F134"/>
    <w:lvl w:ilvl="0" w:tplc="0E0AFF7A">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9">
    <w:nsid w:val="6BA90E6C"/>
    <w:multiLevelType w:val="multilevel"/>
    <w:tmpl w:val="DEC602F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76144002"/>
    <w:multiLevelType w:val="hybridMultilevel"/>
    <w:tmpl w:val="A0509162"/>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1">
    <w:nsid w:val="78052B9C"/>
    <w:multiLevelType w:val="hybridMultilevel"/>
    <w:tmpl w:val="539A9784"/>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2">
    <w:nsid w:val="780B16D8"/>
    <w:multiLevelType w:val="multilevel"/>
    <w:tmpl w:val="1AB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8E836A8"/>
    <w:multiLevelType w:val="singleLevel"/>
    <w:tmpl w:val="DC1CAA62"/>
    <w:lvl w:ilvl="0">
      <w:start w:val="1"/>
      <w:numFmt w:val="bullet"/>
      <w:pStyle w:val="Spiegel-Punkt"/>
      <w:lvlText w:val=""/>
      <w:lvlJc w:val="left"/>
      <w:pPr>
        <w:tabs>
          <w:tab w:val="num" w:pos="0"/>
        </w:tabs>
        <w:ind w:left="283" w:hanging="283"/>
      </w:pPr>
      <w:rPr>
        <w:rFonts w:ascii="Symbol" w:hAnsi="Symbol" w:hint="default"/>
      </w:rPr>
    </w:lvl>
  </w:abstractNum>
  <w:abstractNum w:abstractNumId="24">
    <w:nsid w:val="7C72748C"/>
    <w:multiLevelType w:val="multilevel"/>
    <w:tmpl w:val="E30C002C"/>
    <w:lvl w:ilvl="0">
      <w:start w:val="1"/>
      <w:numFmt w:val="decimal"/>
      <w:lvlText w:val="%1."/>
      <w:lvlJc w:val="left"/>
      <w:pPr>
        <w:ind w:left="720" w:hanging="360"/>
      </w:pPr>
      <w:rPr>
        <w:rFonts w:cs="Times New Roman"/>
      </w:rPr>
    </w:lvl>
    <w:lvl w:ilvl="1">
      <w:start w:val="1"/>
      <w:numFmt w:val="decimal"/>
      <w:isLgl/>
      <w:lvlText w:val="%1.%2"/>
      <w:lvlJc w:val="left"/>
      <w:pPr>
        <w:ind w:left="1394" w:hanging="390"/>
      </w:pPr>
      <w:rPr>
        <w:rFonts w:cs="Times New Roman" w:hint="default"/>
      </w:rPr>
    </w:lvl>
    <w:lvl w:ilvl="2">
      <w:start w:val="1"/>
      <w:numFmt w:val="decimal"/>
      <w:isLgl/>
      <w:lvlText w:val="%1.%2.%3"/>
      <w:lvlJc w:val="left"/>
      <w:pPr>
        <w:ind w:left="2368" w:hanging="720"/>
      </w:pPr>
      <w:rPr>
        <w:rFonts w:cs="Times New Roman" w:hint="default"/>
      </w:rPr>
    </w:lvl>
    <w:lvl w:ilvl="3">
      <w:start w:val="1"/>
      <w:numFmt w:val="decimal"/>
      <w:isLgl/>
      <w:lvlText w:val="%1.%2.%3.%4"/>
      <w:lvlJc w:val="left"/>
      <w:pPr>
        <w:ind w:left="3372" w:hanging="1080"/>
      </w:pPr>
      <w:rPr>
        <w:rFonts w:cs="Times New Roman" w:hint="default"/>
      </w:rPr>
    </w:lvl>
    <w:lvl w:ilvl="4">
      <w:start w:val="1"/>
      <w:numFmt w:val="decimal"/>
      <w:isLgl/>
      <w:lvlText w:val="%1.%2.%3.%4.%5"/>
      <w:lvlJc w:val="left"/>
      <w:pPr>
        <w:ind w:left="4016" w:hanging="1080"/>
      </w:pPr>
      <w:rPr>
        <w:rFonts w:cs="Times New Roman" w:hint="default"/>
      </w:rPr>
    </w:lvl>
    <w:lvl w:ilvl="5">
      <w:start w:val="1"/>
      <w:numFmt w:val="decimal"/>
      <w:isLgl/>
      <w:lvlText w:val="%1.%2.%3.%4.%5.%6"/>
      <w:lvlJc w:val="left"/>
      <w:pPr>
        <w:ind w:left="5020" w:hanging="1440"/>
      </w:pPr>
      <w:rPr>
        <w:rFonts w:cs="Times New Roman" w:hint="default"/>
      </w:rPr>
    </w:lvl>
    <w:lvl w:ilvl="6">
      <w:start w:val="1"/>
      <w:numFmt w:val="decimal"/>
      <w:isLgl/>
      <w:lvlText w:val="%1.%2.%3.%4.%5.%6.%7"/>
      <w:lvlJc w:val="left"/>
      <w:pPr>
        <w:ind w:left="5664" w:hanging="1440"/>
      </w:pPr>
      <w:rPr>
        <w:rFonts w:cs="Times New Roman" w:hint="default"/>
      </w:rPr>
    </w:lvl>
    <w:lvl w:ilvl="7">
      <w:start w:val="1"/>
      <w:numFmt w:val="decimal"/>
      <w:isLgl/>
      <w:lvlText w:val="%1.%2.%3.%4.%5.%6.%7.%8"/>
      <w:lvlJc w:val="left"/>
      <w:pPr>
        <w:ind w:left="6668" w:hanging="1800"/>
      </w:pPr>
      <w:rPr>
        <w:rFonts w:cs="Times New Roman" w:hint="default"/>
      </w:rPr>
    </w:lvl>
    <w:lvl w:ilvl="8">
      <w:start w:val="1"/>
      <w:numFmt w:val="decimal"/>
      <w:isLgl/>
      <w:lvlText w:val="%1.%2.%3.%4.%5.%6.%7.%8.%9"/>
      <w:lvlJc w:val="left"/>
      <w:pPr>
        <w:ind w:left="7312" w:hanging="1800"/>
      </w:pPr>
      <w:rPr>
        <w:rFonts w:cs="Times New Roman" w:hint="default"/>
      </w:rPr>
    </w:lvl>
  </w:abstractNum>
  <w:num w:numId="1">
    <w:abstractNumId w:val="4"/>
  </w:num>
  <w:num w:numId="2">
    <w:abstractNumId w:val="3"/>
  </w:num>
  <w:num w:numId="3">
    <w:abstractNumId w:val="23"/>
  </w:num>
  <w:num w:numId="4">
    <w:abstractNumId w:val="12"/>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
  </w:num>
  <w:num w:numId="13">
    <w:abstractNumId w:val="24"/>
  </w:num>
  <w:num w:numId="14">
    <w:abstractNumId w:val="10"/>
  </w:num>
  <w:num w:numId="15">
    <w:abstractNumId w:val="14"/>
  </w:num>
  <w:num w:numId="16">
    <w:abstractNumId w:val="19"/>
  </w:num>
  <w:num w:numId="17">
    <w:abstractNumId w:val="17"/>
  </w:num>
  <w:num w:numId="18">
    <w:abstractNumId w:val="22"/>
  </w:num>
  <w:num w:numId="19">
    <w:abstractNumId w:val="5"/>
  </w:num>
  <w:num w:numId="20">
    <w:abstractNumId w:val="16"/>
  </w:num>
  <w:num w:numId="21">
    <w:abstractNumId w:val="0"/>
  </w:num>
  <w:num w:numId="22">
    <w:abstractNumId w:val="21"/>
  </w:num>
  <w:num w:numId="23">
    <w:abstractNumId w:val="2"/>
  </w:num>
  <w:num w:numId="24">
    <w:abstractNumId w:val="9"/>
  </w:num>
  <w:num w:numId="25">
    <w:abstractNumId w:val="6"/>
  </w:num>
  <w:num w:numId="2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0F"/>
    <w:rsid w:val="00000B12"/>
    <w:rsid w:val="00000DF7"/>
    <w:rsid w:val="00001886"/>
    <w:rsid w:val="00003CF6"/>
    <w:rsid w:val="00005E4A"/>
    <w:rsid w:val="00011E89"/>
    <w:rsid w:val="0002013A"/>
    <w:rsid w:val="00030FC1"/>
    <w:rsid w:val="00040E14"/>
    <w:rsid w:val="00044C10"/>
    <w:rsid w:val="00045018"/>
    <w:rsid w:val="000529CB"/>
    <w:rsid w:val="00056ECB"/>
    <w:rsid w:val="000702A4"/>
    <w:rsid w:val="00070495"/>
    <w:rsid w:val="000923F4"/>
    <w:rsid w:val="000C4819"/>
    <w:rsid w:val="000C55EF"/>
    <w:rsid w:val="000E5C9D"/>
    <w:rsid w:val="00104F76"/>
    <w:rsid w:val="00135567"/>
    <w:rsid w:val="00143E31"/>
    <w:rsid w:val="001446B2"/>
    <w:rsid w:val="00144EC1"/>
    <w:rsid w:val="0015360A"/>
    <w:rsid w:val="00164534"/>
    <w:rsid w:val="0016795A"/>
    <w:rsid w:val="00182995"/>
    <w:rsid w:val="00193EC7"/>
    <w:rsid w:val="001A1ACD"/>
    <w:rsid w:val="001A7833"/>
    <w:rsid w:val="001C3B4B"/>
    <w:rsid w:val="001E7C3C"/>
    <w:rsid w:val="001F216D"/>
    <w:rsid w:val="001F646F"/>
    <w:rsid w:val="001F74E1"/>
    <w:rsid w:val="00206342"/>
    <w:rsid w:val="00206860"/>
    <w:rsid w:val="002068A8"/>
    <w:rsid w:val="002101E5"/>
    <w:rsid w:val="002120C0"/>
    <w:rsid w:val="00213F46"/>
    <w:rsid w:val="00223733"/>
    <w:rsid w:val="002519A5"/>
    <w:rsid w:val="00256F72"/>
    <w:rsid w:val="00262437"/>
    <w:rsid w:val="002725D8"/>
    <w:rsid w:val="002770E7"/>
    <w:rsid w:val="00281D9F"/>
    <w:rsid w:val="0029070B"/>
    <w:rsid w:val="002956FB"/>
    <w:rsid w:val="002C6B45"/>
    <w:rsid w:val="002D1FF4"/>
    <w:rsid w:val="002D2C2B"/>
    <w:rsid w:val="002E355E"/>
    <w:rsid w:val="002E580F"/>
    <w:rsid w:val="002E6B86"/>
    <w:rsid w:val="002E7B69"/>
    <w:rsid w:val="002F5A31"/>
    <w:rsid w:val="00300AC7"/>
    <w:rsid w:val="003024C8"/>
    <w:rsid w:val="00304CDF"/>
    <w:rsid w:val="00305039"/>
    <w:rsid w:val="0032305E"/>
    <w:rsid w:val="00352699"/>
    <w:rsid w:val="00355BF1"/>
    <w:rsid w:val="003620B3"/>
    <w:rsid w:val="00365F48"/>
    <w:rsid w:val="0037431D"/>
    <w:rsid w:val="003831CA"/>
    <w:rsid w:val="00383A5B"/>
    <w:rsid w:val="00384EF8"/>
    <w:rsid w:val="0038717D"/>
    <w:rsid w:val="003A2AE4"/>
    <w:rsid w:val="003A6E47"/>
    <w:rsid w:val="003B38AA"/>
    <w:rsid w:val="003D1ABE"/>
    <w:rsid w:val="003D31C6"/>
    <w:rsid w:val="003D35C9"/>
    <w:rsid w:val="003D3606"/>
    <w:rsid w:val="003F3ACF"/>
    <w:rsid w:val="004025D0"/>
    <w:rsid w:val="004049BB"/>
    <w:rsid w:val="00414103"/>
    <w:rsid w:val="004146A1"/>
    <w:rsid w:val="004360D4"/>
    <w:rsid w:val="0045298C"/>
    <w:rsid w:val="00453600"/>
    <w:rsid w:val="00455D8C"/>
    <w:rsid w:val="004642D4"/>
    <w:rsid w:val="0046523D"/>
    <w:rsid w:val="00472953"/>
    <w:rsid w:val="004771E3"/>
    <w:rsid w:val="00480446"/>
    <w:rsid w:val="00483ADE"/>
    <w:rsid w:val="00495390"/>
    <w:rsid w:val="004A0E9A"/>
    <w:rsid w:val="004A3F82"/>
    <w:rsid w:val="004A5876"/>
    <w:rsid w:val="004B276F"/>
    <w:rsid w:val="004B4CB3"/>
    <w:rsid w:val="004C2004"/>
    <w:rsid w:val="004C56F0"/>
    <w:rsid w:val="004C5827"/>
    <w:rsid w:val="004C7DDB"/>
    <w:rsid w:val="004D4EC8"/>
    <w:rsid w:val="004E2846"/>
    <w:rsid w:val="004E5729"/>
    <w:rsid w:val="004F0E1F"/>
    <w:rsid w:val="00504C1A"/>
    <w:rsid w:val="00505E8F"/>
    <w:rsid w:val="00515BA0"/>
    <w:rsid w:val="00517A9A"/>
    <w:rsid w:val="005369A6"/>
    <w:rsid w:val="00570CEE"/>
    <w:rsid w:val="005752A5"/>
    <w:rsid w:val="00577B83"/>
    <w:rsid w:val="00581295"/>
    <w:rsid w:val="005864DF"/>
    <w:rsid w:val="005918DA"/>
    <w:rsid w:val="005947F6"/>
    <w:rsid w:val="005A16D6"/>
    <w:rsid w:val="005C469A"/>
    <w:rsid w:val="005D04FC"/>
    <w:rsid w:val="005D0E1C"/>
    <w:rsid w:val="005D1594"/>
    <w:rsid w:val="005D46E4"/>
    <w:rsid w:val="005D7CA9"/>
    <w:rsid w:val="00610DD9"/>
    <w:rsid w:val="0061349A"/>
    <w:rsid w:val="00620109"/>
    <w:rsid w:val="00623EB1"/>
    <w:rsid w:val="00644768"/>
    <w:rsid w:val="00645368"/>
    <w:rsid w:val="00646BF1"/>
    <w:rsid w:val="006537EA"/>
    <w:rsid w:val="006610CB"/>
    <w:rsid w:val="00676885"/>
    <w:rsid w:val="00681F06"/>
    <w:rsid w:val="006A042C"/>
    <w:rsid w:val="006A0856"/>
    <w:rsid w:val="006A0E51"/>
    <w:rsid w:val="006A3B6B"/>
    <w:rsid w:val="006A51BC"/>
    <w:rsid w:val="006C5213"/>
    <w:rsid w:val="006D3E1E"/>
    <w:rsid w:val="006D67FC"/>
    <w:rsid w:val="006E12C1"/>
    <w:rsid w:val="006F276E"/>
    <w:rsid w:val="00705DE2"/>
    <w:rsid w:val="00711115"/>
    <w:rsid w:val="00712019"/>
    <w:rsid w:val="00715C79"/>
    <w:rsid w:val="00716DD9"/>
    <w:rsid w:val="007231CE"/>
    <w:rsid w:val="00727D0D"/>
    <w:rsid w:val="0074293A"/>
    <w:rsid w:val="0074713F"/>
    <w:rsid w:val="0075067E"/>
    <w:rsid w:val="00756B4E"/>
    <w:rsid w:val="00766355"/>
    <w:rsid w:val="00783D7B"/>
    <w:rsid w:val="0078692F"/>
    <w:rsid w:val="007878F1"/>
    <w:rsid w:val="00790A37"/>
    <w:rsid w:val="00793C1A"/>
    <w:rsid w:val="0079655C"/>
    <w:rsid w:val="007A2573"/>
    <w:rsid w:val="007A7B4D"/>
    <w:rsid w:val="007B18E0"/>
    <w:rsid w:val="007B4F87"/>
    <w:rsid w:val="007C1383"/>
    <w:rsid w:val="007C6A9C"/>
    <w:rsid w:val="007D0053"/>
    <w:rsid w:val="007D416B"/>
    <w:rsid w:val="007D4602"/>
    <w:rsid w:val="007E539E"/>
    <w:rsid w:val="007E5446"/>
    <w:rsid w:val="007F3C91"/>
    <w:rsid w:val="00804DE9"/>
    <w:rsid w:val="008420BF"/>
    <w:rsid w:val="00843574"/>
    <w:rsid w:val="00847377"/>
    <w:rsid w:val="008475AA"/>
    <w:rsid w:val="008505EF"/>
    <w:rsid w:val="0085424B"/>
    <w:rsid w:val="00862249"/>
    <w:rsid w:val="008634F9"/>
    <w:rsid w:val="0089072F"/>
    <w:rsid w:val="008932DD"/>
    <w:rsid w:val="008A4321"/>
    <w:rsid w:val="008B0789"/>
    <w:rsid w:val="008C27EC"/>
    <w:rsid w:val="008C38DF"/>
    <w:rsid w:val="008D1DB2"/>
    <w:rsid w:val="008D4850"/>
    <w:rsid w:val="008E3B4D"/>
    <w:rsid w:val="008F7531"/>
    <w:rsid w:val="008F7786"/>
    <w:rsid w:val="00905B87"/>
    <w:rsid w:val="00906873"/>
    <w:rsid w:val="00910ADD"/>
    <w:rsid w:val="00913076"/>
    <w:rsid w:val="00916A93"/>
    <w:rsid w:val="00922732"/>
    <w:rsid w:val="009259AA"/>
    <w:rsid w:val="00936306"/>
    <w:rsid w:val="009407C1"/>
    <w:rsid w:val="0094158C"/>
    <w:rsid w:val="00944D0E"/>
    <w:rsid w:val="009510A3"/>
    <w:rsid w:val="00951F14"/>
    <w:rsid w:val="00957889"/>
    <w:rsid w:val="00971A7B"/>
    <w:rsid w:val="00984D7B"/>
    <w:rsid w:val="00990C47"/>
    <w:rsid w:val="009931DC"/>
    <w:rsid w:val="00994BD8"/>
    <w:rsid w:val="009B1D58"/>
    <w:rsid w:val="009B2A8D"/>
    <w:rsid w:val="009B7200"/>
    <w:rsid w:val="009C498A"/>
    <w:rsid w:val="009C575D"/>
    <w:rsid w:val="009D310D"/>
    <w:rsid w:val="009E2E69"/>
    <w:rsid w:val="00A00FE9"/>
    <w:rsid w:val="00A02D1C"/>
    <w:rsid w:val="00A146C2"/>
    <w:rsid w:val="00A20D9A"/>
    <w:rsid w:val="00A24139"/>
    <w:rsid w:val="00A24FC0"/>
    <w:rsid w:val="00A40C37"/>
    <w:rsid w:val="00A452FF"/>
    <w:rsid w:val="00A4642F"/>
    <w:rsid w:val="00A52B69"/>
    <w:rsid w:val="00A707D9"/>
    <w:rsid w:val="00A709AC"/>
    <w:rsid w:val="00A7420F"/>
    <w:rsid w:val="00A86F9B"/>
    <w:rsid w:val="00AA04D5"/>
    <w:rsid w:val="00AA0D62"/>
    <w:rsid w:val="00AA0F5C"/>
    <w:rsid w:val="00AB4B07"/>
    <w:rsid w:val="00AB4E54"/>
    <w:rsid w:val="00AC3BAC"/>
    <w:rsid w:val="00AC422D"/>
    <w:rsid w:val="00AE4EB4"/>
    <w:rsid w:val="00AF24B3"/>
    <w:rsid w:val="00AF75B7"/>
    <w:rsid w:val="00B07D21"/>
    <w:rsid w:val="00B202FF"/>
    <w:rsid w:val="00B23A66"/>
    <w:rsid w:val="00B35DCB"/>
    <w:rsid w:val="00B37C53"/>
    <w:rsid w:val="00B37F7F"/>
    <w:rsid w:val="00B41EA0"/>
    <w:rsid w:val="00B42A1E"/>
    <w:rsid w:val="00B525DF"/>
    <w:rsid w:val="00B57105"/>
    <w:rsid w:val="00B6566C"/>
    <w:rsid w:val="00B707FF"/>
    <w:rsid w:val="00B76921"/>
    <w:rsid w:val="00B81B55"/>
    <w:rsid w:val="00B81BEC"/>
    <w:rsid w:val="00B93E33"/>
    <w:rsid w:val="00BC7515"/>
    <w:rsid w:val="00BF21BA"/>
    <w:rsid w:val="00BF7352"/>
    <w:rsid w:val="00C03491"/>
    <w:rsid w:val="00C125D0"/>
    <w:rsid w:val="00C14923"/>
    <w:rsid w:val="00C25C08"/>
    <w:rsid w:val="00C464B7"/>
    <w:rsid w:val="00C46695"/>
    <w:rsid w:val="00C65CA5"/>
    <w:rsid w:val="00C705C1"/>
    <w:rsid w:val="00C72F88"/>
    <w:rsid w:val="00C80D6D"/>
    <w:rsid w:val="00C91496"/>
    <w:rsid w:val="00C939A7"/>
    <w:rsid w:val="00CC7EAB"/>
    <w:rsid w:val="00CD0811"/>
    <w:rsid w:val="00CD5231"/>
    <w:rsid w:val="00CD5238"/>
    <w:rsid w:val="00CD636F"/>
    <w:rsid w:val="00CE2EC0"/>
    <w:rsid w:val="00CE484D"/>
    <w:rsid w:val="00CF7492"/>
    <w:rsid w:val="00D30DF2"/>
    <w:rsid w:val="00D33395"/>
    <w:rsid w:val="00D43DD9"/>
    <w:rsid w:val="00D4717F"/>
    <w:rsid w:val="00D475CE"/>
    <w:rsid w:val="00D5521E"/>
    <w:rsid w:val="00D63042"/>
    <w:rsid w:val="00D6475D"/>
    <w:rsid w:val="00D70205"/>
    <w:rsid w:val="00D7386D"/>
    <w:rsid w:val="00D73D99"/>
    <w:rsid w:val="00D778D7"/>
    <w:rsid w:val="00DA1E6F"/>
    <w:rsid w:val="00DB749F"/>
    <w:rsid w:val="00DC04A4"/>
    <w:rsid w:val="00DC2CBC"/>
    <w:rsid w:val="00DD3CC4"/>
    <w:rsid w:val="00DD6E8B"/>
    <w:rsid w:val="00DE0BA6"/>
    <w:rsid w:val="00DE118F"/>
    <w:rsid w:val="00DE45F8"/>
    <w:rsid w:val="00DF5BE3"/>
    <w:rsid w:val="00E00D93"/>
    <w:rsid w:val="00E06729"/>
    <w:rsid w:val="00E31789"/>
    <w:rsid w:val="00E36BFF"/>
    <w:rsid w:val="00E429B0"/>
    <w:rsid w:val="00E474B7"/>
    <w:rsid w:val="00E60042"/>
    <w:rsid w:val="00E70A89"/>
    <w:rsid w:val="00E74724"/>
    <w:rsid w:val="00E76E9B"/>
    <w:rsid w:val="00E7708D"/>
    <w:rsid w:val="00E870A2"/>
    <w:rsid w:val="00E957B7"/>
    <w:rsid w:val="00EA1745"/>
    <w:rsid w:val="00EA4F65"/>
    <w:rsid w:val="00EA58D6"/>
    <w:rsid w:val="00EB77CC"/>
    <w:rsid w:val="00EC2A68"/>
    <w:rsid w:val="00EC45CC"/>
    <w:rsid w:val="00EE24DF"/>
    <w:rsid w:val="00EE7D08"/>
    <w:rsid w:val="00EF0B6F"/>
    <w:rsid w:val="00EF43F4"/>
    <w:rsid w:val="00EF4F0C"/>
    <w:rsid w:val="00F019F2"/>
    <w:rsid w:val="00F0468E"/>
    <w:rsid w:val="00F05089"/>
    <w:rsid w:val="00F14507"/>
    <w:rsid w:val="00F162C7"/>
    <w:rsid w:val="00F22EF9"/>
    <w:rsid w:val="00F242F4"/>
    <w:rsid w:val="00F31A94"/>
    <w:rsid w:val="00F3428B"/>
    <w:rsid w:val="00F53CB9"/>
    <w:rsid w:val="00F556D9"/>
    <w:rsid w:val="00F579EF"/>
    <w:rsid w:val="00F67923"/>
    <w:rsid w:val="00F73FDD"/>
    <w:rsid w:val="00F82651"/>
    <w:rsid w:val="00F8614C"/>
    <w:rsid w:val="00F8644D"/>
    <w:rsid w:val="00F92C63"/>
    <w:rsid w:val="00FA18F6"/>
    <w:rsid w:val="00FC466F"/>
    <w:rsid w:val="00FC65FA"/>
    <w:rsid w:val="00FE7B98"/>
    <w:rsid w:val="00FF1A70"/>
    <w:rsid w:val="00FF41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BA0"/>
    <w:rPr>
      <w:rFonts w:ascii="Arial" w:hAnsi="Arial" w:cs="Arial"/>
      <w:sz w:val="24"/>
      <w:szCs w:val="24"/>
      <w:lang w:val="en-GB" w:eastAsia="de-DE"/>
    </w:rPr>
  </w:style>
  <w:style w:type="paragraph" w:styleId="Heading1">
    <w:name w:val="heading 1"/>
    <w:basedOn w:val="Text"/>
    <w:next w:val="Text"/>
    <w:link w:val="Heading1Char"/>
    <w:uiPriority w:val="99"/>
    <w:qFormat/>
    <w:rsid w:val="00D70205"/>
    <w:pPr>
      <w:keepNext/>
      <w:pageBreakBefore/>
      <w:numPr>
        <w:numId w:val="1"/>
      </w:numPr>
      <w:spacing w:before="240" w:after="60" w:line="240" w:lineRule="auto"/>
      <w:outlineLvl w:val="0"/>
    </w:pPr>
    <w:rPr>
      <w:b/>
      <w:bCs/>
      <w:kern w:val="32"/>
      <w:sz w:val="32"/>
      <w:szCs w:val="32"/>
    </w:rPr>
  </w:style>
  <w:style w:type="paragraph" w:styleId="Heading2">
    <w:name w:val="heading 2"/>
    <w:basedOn w:val="Text"/>
    <w:next w:val="Text"/>
    <w:link w:val="Heading2Char"/>
    <w:uiPriority w:val="99"/>
    <w:qFormat/>
    <w:rsid w:val="00D70205"/>
    <w:pPr>
      <w:keepNext/>
      <w:numPr>
        <w:ilvl w:val="1"/>
        <w:numId w:val="1"/>
      </w:numPr>
      <w:spacing w:before="240" w:after="60" w:line="240" w:lineRule="auto"/>
      <w:outlineLvl w:val="1"/>
    </w:pPr>
    <w:rPr>
      <w:b/>
      <w:bCs/>
      <w:i/>
      <w:iCs/>
      <w:sz w:val="28"/>
      <w:szCs w:val="28"/>
    </w:rPr>
  </w:style>
  <w:style w:type="paragraph" w:styleId="Heading3">
    <w:name w:val="heading 3"/>
    <w:basedOn w:val="Text"/>
    <w:next w:val="Text"/>
    <w:link w:val="Heading3Char"/>
    <w:uiPriority w:val="99"/>
    <w:qFormat/>
    <w:rsid w:val="00D70205"/>
    <w:pPr>
      <w:keepNext/>
      <w:numPr>
        <w:ilvl w:val="2"/>
        <w:numId w:val="1"/>
      </w:numPr>
      <w:spacing w:before="240" w:after="60" w:line="240" w:lineRule="auto"/>
      <w:outlineLvl w:val="2"/>
    </w:pPr>
    <w:rPr>
      <w:b/>
      <w:bCs/>
      <w:sz w:val="26"/>
      <w:szCs w:val="26"/>
    </w:rPr>
  </w:style>
  <w:style w:type="paragraph" w:styleId="Heading4">
    <w:name w:val="heading 4"/>
    <w:basedOn w:val="Normal"/>
    <w:next w:val="Normal"/>
    <w:link w:val="Heading4Char"/>
    <w:uiPriority w:val="99"/>
    <w:qFormat/>
    <w:rsid w:val="00D70205"/>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70205"/>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7020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70205"/>
    <w:pPr>
      <w:numPr>
        <w:ilvl w:val="6"/>
        <w:numId w:val="1"/>
      </w:numPr>
      <w:spacing w:before="240" w:after="60"/>
      <w:outlineLvl w:val="6"/>
    </w:pPr>
  </w:style>
  <w:style w:type="paragraph" w:styleId="Heading8">
    <w:name w:val="heading 8"/>
    <w:basedOn w:val="Normal"/>
    <w:next w:val="Normal"/>
    <w:link w:val="Heading8Char"/>
    <w:uiPriority w:val="99"/>
    <w:qFormat/>
    <w:rsid w:val="00D70205"/>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D70205"/>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1A94"/>
    <w:rPr>
      <w:rFonts w:ascii="Arial" w:hAnsi="Arial" w:cs="Arial"/>
      <w:b/>
      <w:bCs/>
      <w:kern w:val="32"/>
      <w:sz w:val="32"/>
      <w:szCs w:val="32"/>
      <w:lang w:val="en-GB" w:eastAsia="de-DE"/>
    </w:rPr>
  </w:style>
  <w:style w:type="character" w:customStyle="1" w:styleId="Heading2Char">
    <w:name w:val="Heading 2 Char"/>
    <w:basedOn w:val="DefaultParagraphFont"/>
    <w:link w:val="Heading2"/>
    <w:uiPriority w:val="99"/>
    <w:locked/>
    <w:rsid w:val="00F31A94"/>
    <w:rPr>
      <w:rFonts w:ascii="Arial" w:hAnsi="Arial" w:cs="Arial"/>
      <w:b/>
      <w:bCs/>
      <w:i/>
      <w:iCs/>
      <w:sz w:val="28"/>
      <w:szCs w:val="28"/>
      <w:lang w:val="en-GB" w:eastAsia="de-DE"/>
    </w:rPr>
  </w:style>
  <w:style w:type="character" w:customStyle="1" w:styleId="Heading3Char">
    <w:name w:val="Heading 3 Char"/>
    <w:basedOn w:val="DefaultParagraphFont"/>
    <w:link w:val="Heading3"/>
    <w:uiPriority w:val="99"/>
    <w:locked/>
    <w:rsid w:val="00F31A94"/>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30FC1"/>
    <w:rPr>
      <w:rFonts w:ascii="Arial" w:hAnsi="Arial" w:cs="Arial"/>
      <w:b/>
      <w:bCs/>
      <w:sz w:val="28"/>
      <w:szCs w:val="28"/>
      <w:lang w:val="de-DE" w:eastAsia="de-DE"/>
    </w:rPr>
  </w:style>
  <w:style w:type="character" w:customStyle="1" w:styleId="Heading5Char">
    <w:name w:val="Heading 5 Char"/>
    <w:basedOn w:val="DefaultParagraphFont"/>
    <w:link w:val="Heading5"/>
    <w:uiPriority w:val="99"/>
    <w:locked/>
    <w:rsid w:val="00F31A94"/>
    <w:rPr>
      <w:rFonts w:ascii="Arial" w:hAnsi="Arial" w:cs="Arial"/>
      <w:b/>
      <w:bCs/>
      <w:i/>
      <w:iCs/>
      <w:sz w:val="26"/>
      <w:szCs w:val="26"/>
      <w:lang w:val="de-DE" w:eastAsia="de-DE"/>
    </w:rPr>
  </w:style>
  <w:style w:type="character" w:customStyle="1" w:styleId="Heading6Char">
    <w:name w:val="Heading 6 Char"/>
    <w:basedOn w:val="DefaultParagraphFont"/>
    <w:link w:val="Heading6"/>
    <w:uiPriority w:val="99"/>
    <w:locked/>
    <w:rsid w:val="00F31A94"/>
    <w:rPr>
      <w:rFonts w:ascii="Arial" w:hAnsi="Arial" w:cs="Arial"/>
      <w:b/>
      <w:bCs/>
      <w:sz w:val="22"/>
      <w:szCs w:val="22"/>
      <w:lang w:val="de-DE" w:eastAsia="de-DE"/>
    </w:rPr>
  </w:style>
  <w:style w:type="character" w:customStyle="1" w:styleId="Heading7Char">
    <w:name w:val="Heading 7 Char"/>
    <w:basedOn w:val="DefaultParagraphFont"/>
    <w:link w:val="Heading7"/>
    <w:uiPriority w:val="99"/>
    <w:locked/>
    <w:rsid w:val="00F31A94"/>
    <w:rPr>
      <w:rFonts w:ascii="Arial" w:hAnsi="Arial" w:cs="Arial"/>
      <w:sz w:val="24"/>
      <w:szCs w:val="24"/>
      <w:lang w:val="de-DE" w:eastAsia="de-DE"/>
    </w:rPr>
  </w:style>
  <w:style w:type="character" w:customStyle="1" w:styleId="Heading8Char">
    <w:name w:val="Heading 8 Char"/>
    <w:basedOn w:val="DefaultParagraphFont"/>
    <w:link w:val="Heading8"/>
    <w:uiPriority w:val="99"/>
    <w:locked/>
    <w:rsid w:val="00F31A94"/>
    <w:rPr>
      <w:rFonts w:ascii="Arial" w:hAnsi="Arial" w:cs="Arial"/>
      <w:i/>
      <w:iCs/>
      <w:sz w:val="24"/>
      <w:szCs w:val="24"/>
      <w:lang w:val="de-DE" w:eastAsia="de-DE"/>
    </w:rPr>
  </w:style>
  <w:style w:type="character" w:customStyle="1" w:styleId="Heading9Char">
    <w:name w:val="Heading 9 Char"/>
    <w:basedOn w:val="DefaultParagraphFont"/>
    <w:link w:val="Heading9"/>
    <w:uiPriority w:val="99"/>
    <w:locked/>
    <w:rsid w:val="00F31A94"/>
    <w:rPr>
      <w:rFonts w:ascii="Arial" w:hAnsi="Arial" w:cs="Arial"/>
      <w:sz w:val="22"/>
      <w:szCs w:val="22"/>
      <w:lang w:val="de-DE" w:eastAsia="de-DE"/>
    </w:rPr>
  </w:style>
  <w:style w:type="paragraph" w:customStyle="1" w:styleId="Text">
    <w:name w:val="Text"/>
    <w:basedOn w:val="Normal"/>
    <w:link w:val="TextChar"/>
    <w:uiPriority w:val="99"/>
    <w:rsid w:val="002120C0"/>
    <w:pPr>
      <w:spacing w:after="120" w:line="360" w:lineRule="auto"/>
    </w:pPr>
  </w:style>
  <w:style w:type="character" w:customStyle="1" w:styleId="TextChar">
    <w:name w:val="Text Char"/>
    <w:basedOn w:val="DefaultParagraphFont"/>
    <w:link w:val="Text"/>
    <w:uiPriority w:val="99"/>
    <w:locked/>
    <w:rsid w:val="00570CEE"/>
    <w:rPr>
      <w:rFonts w:cs="Times New Roman"/>
      <w:sz w:val="24"/>
      <w:szCs w:val="24"/>
      <w:lang w:val="en-GB" w:eastAsia="de-DE" w:bidi="ar-SA"/>
    </w:rPr>
  </w:style>
  <w:style w:type="paragraph" w:styleId="Header">
    <w:name w:val="header"/>
    <w:basedOn w:val="Normal"/>
    <w:link w:val="HeaderChar"/>
    <w:uiPriority w:val="99"/>
    <w:rsid w:val="00C939A7"/>
    <w:pPr>
      <w:tabs>
        <w:tab w:val="center" w:pos="4536"/>
        <w:tab w:val="right" w:pos="9072"/>
      </w:tabs>
    </w:pPr>
  </w:style>
  <w:style w:type="character" w:customStyle="1" w:styleId="HeaderChar">
    <w:name w:val="Header Char"/>
    <w:basedOn w:val="DefaultParagraphFont"/>
    <w:link w:val="Header"/>
    <w:uiPriority w:val="99"/>
    <w:locked/>
    <w:rsid w:val="00F31A94"/>
    <w:rPr>
      <w:rFonts w:ascii="Arial" w:hAnsi="Arial" w:cs="Arial"/>
      <w:sz w:val="24"/>
      <w:szCs w:val="24"/>
      <w:lang w:val="de-DE" w:eastAsia="de-DE"/>
    </w:rPr>
  </w:style>
  <w:style w:type="paragraph" w:styleId="Footer">
    <w:name w:val="footer"/>
    <w:basedOn w:val="Normal"/>
    <w:link w:val="FooterChar"/>
    <w:uiPriority w:val="99"/>
    <w:rsid w:val="00C939A7"/>
    <w:pPr>
      <w:tabs>
        <w:tab w:val="center" w:pos="4536"/>
        <w:tab w:val="right" w:pos="9072"/>
      </w:tabs>
    </w:pPr>
  </w:style>
  <w:style w:type="character" w:customStyle="1" w:styleId="FooterChar">
    <w:name w:val="Footer Char"/>
    <w:basedOn w:val="DefaultParagraphFont"/>
    <w:link w:val="Footer"/>
    <w:uiPriority w:val="99"/>
    <w:locked/>
    <w:rsid w:val="00F31A94"/>
    <w:rPr>
      <w:rFonts w:ascii="Arial" w:hAnsi="Arial" w:cs="Arial"/>
      <w:sz w:val="24"/>
      <w:szCs w:val="24"/>
      <w:lang w:val="de-DE" w:eastAsia="de-DE"/>
    </w:rPr>
  </w:style>
  <w:style w:type="character" w:styleId="PageNumber">
    <w:name w:val="page number"/>
    <w:basedOn w:val="DefaultParagraphFont"/>
    <w:uiPriority w:val="99"/>
    <w:rsid w:val="00676885"/>
    <w:rPr>
      <w:rFonts w:cs="Times New Roman"/>
    </w:rPr>
  </w:style>
  <w:style w:type="paragraph" w:customStyle="1" w:styleId="Title1">
    <w:name w:val="Title1"/>
    <w:basedOn w:val="Heading1"/>
    <w:uiPriority w:val="99"/>
    <w:rsid w:val="00D70205"/>
    <w:pPr>
      <w:pageBreakBefore w:val="0"/>
      <w:numPr>
        <w:numId w:val="0"/>
      </w:numPr>
      <w:jc w:val="center"/>
    </w:pPr>
  </w:style>
  <w:style w:type="paragraph" w:styleId="TOC1">
    <w:name w:val="toc 1"/>
    <w:basedOn w:val="Normal"/>
    <w:next w:val="Normal"/>
    <w:autoRedefine/>
    <w:uiPriority w:val="39"/>
    <w:rsid w:val="00EB77CC"/>
    <w:pPr>
      <w:spacing w:before="360"/>
    </w:pPr>
    <w:rPr>
      <w:b/>
      <w:bCs/>
      <w:caps/>
    </w:rPr>
  </w:style>
  <w:style w:type="paragraph" w:styleId="TOC2">
    <w:name w:val="toc 2"/>
    <w:basedOn w:val="Normal"/>
    <w:next w:val="Normal"/>
    <w:autoRedefine/>
    <w:uiPriority w:val="39"/>
    <w:rsid w:val="00EB77CC"/>
    <w:pPr>
      <w:spacing w:before="240"/>
    </w:pPr>
    <w:rPr>
      <w:b/>
      <w:bCs/>
      <w:sz w:val="20"/>
      <w:szCs w:val="20"/>
    </w:rPr>
  </w:style>
  <w:style w:type="paragraph" w:styleId="TOC3">
    <w:name w:val="toc 3"/>
    <w:basedOn w:val="Normal"/>
    <w:next w:val="Normal"/>
    <w:autoRedefine/>
    <w:uiPriority w:val="99"/>
    <w:semiHidden/>
    <w:rsid w:val="00EB77CC"/>
    <w:pPr>
      <w:ind w:left="240"/>
    </w:pPr>
    <w:rPr>
      <w:sz w:val="20"/>
      <w:szCs w:val="20"/>
    </w:rPr>
  </w:style>
  <w:style w:type="paragraph" w:styleId="TOC4">
    <w:name w:val="toc 4"/>
    <w:basedOn w:val="Normal"/>
    <w:next w:val="Normal"/>
    <w:autoRedefine/>
    <w:uiPriority w:val="99"/>
    <w:semiHidden/>
    <w:rsid w:val="00EB77CC"/>
    <w:pPr>
      <w:ind w:left="480"/>
    </w:pPr>
    <w:rPr>
      <w:sz w:val="20"/>
      <w:szCs w:val="20"/>
    </w:rPr>
  </w:style>
  <w:style w:type="paragraph" w:styleId="TOC5">
    <w:name w:val="toc 5"/>
    <w:basedOn w:val="Normal"/>
    <w:next w:val="Normal"/>
    <w:autoRedefine/>
    <w:uiPriority w:val="99"/>
    <w:semiHidden/>
    <w:rsid w:val="00EB77CC"/>
    <w:pPr>
      <w:ind w:left="720"/>
    </w:pPr>
    <w:rPr>
      <w:sz w:val="20"/>
      <w:szCs w:val="20"/>
    </w:rPr>
  </w:style>
  <w:style w:type="paragraph" w:styleId="TOC6">
    <w:name w:val="toc 6"/>
    <w:basedOn w:val="Normal"/>
    <w:next w:val="Normal"/>
    <w:autoRedefine/>
    <w:uiPriority w:val="99"/>
    <w:semiHidden/>
    <w:rsid w:val="00EB77CC"/>
    <w:pPr>
      <w:ind w:left="960"/>
    </w:pPr>
    <w:rPr>
      <w:sz w:val="20"/>
      <w:szCs w:val="20"/>
    </w:rPr>
  </w:style>
  <w:style w:type="paragraph" w:styleId="TOC7">
    <w:name w:val="toc 7"/>
    <w:basedOn w:val="Normal"/>
    <w:next w:val="Normal"/>
    <w:autoRedefine/>
    <w:uiPriority w:val="99"/>
    <w:semiHidden/>
    <w:rsid w:val="00EB77CC"/>
    <w:pPr>
      <w:ind w:left="1200"/>
    </w:pPr>
    <w:rPr>
      <w:sz w:val="20"/>
      <w:szCs w:val="20"/>
    </w:rPr>
  </w:style>
  <w:style w:type="paragraph" w:styleId="TOC8">
    <w:name w:val="toc 8"/>
    <w:basedOn w:val="Normal"/>
    <w:next w:val="Normal"/>
    <w:autoRedefine/>
    <w:uiPriority w:val="99"/>
    <w:semiHidden/>
    <w:rsid w:val="00EB77CC"/>
    <w:pPr>
      <w:ind w:left="1440"/>
    </w:pPr>
    <w:rPr>
      <w:sz w:val="20"/>
      <w:szCs w:val="20"/>
    </w:rPr>
  </w:style>
  <w:style w:type="paragraph" w:styleId="TOC9">
    <w:name w:val="toc 9"/>
    <w:basedOn w:val="Normal"/>
    <w:next w:val="Normal"/>
    <w:autoRedefine/>
    <w:uiPriority w:val="99"/>
    <w:semiHidden/>
    <w:rsid w:val="00EB77CC"/>
    <w:pPr>
      <w:ind w:left="1680"/>
    </w:pPr>
    <w:rPr>
      <w:sz w:val="20"/>
      <w:szCs w:val="20"/>
    </w:rPr>
  </w:style>
  <w:style w:type="character" w:styleId="Hyperlink">
    <w:name w:val="Hyperlink"/>
    <w:basedOn w:val="DefaultParagraphFont"/>
    <w:uiPriority w:val="99"/>
    <w:rsid w:val="00EB77CC"/>
    <w:rPr>
      <w:rFonts w:cs="Times New Roman"/>
      <w:color w:val="0000FF"/>
      <w:u w:val="single"/>
    </w:rPr>
  </w:style>
  <w:style w:type="paragraph" w:styleId="TableofFigures">
    <w:name w:val="table of figures"/>
    <w:basedOn w:val="Normal"/>
    <w:next w:val="Normal"/>
    <w:uiPriority w:val="99"/>
    <w:semiHidden/>
    <w:rsid w:val="00E76E9B"/>
    <w:pPr>
      <w:ind w:left="480" w:hanging="480"/>
    </w:pPr>
  </w:style>
  <w:style w:type="paragraph" w:customStyle="1" w:styleId="AnnexLevel1">
    <w:name w:val="Annex_Level_1"/>
    <w:basedOn w:val="Heading1"/>
    <w:next w:val="Text"/>
    <w:uiPriority w:val="99"/>
    <w:rsid w:val="00F31A94"/>
    <w:pPr>
      <w:numPr>
        <w:numId w:val="2"/>
      </w:numPr>
      <w:tabs>
        <w:tab w:val="clear" w:pos="0"/>
        <w:tab w:val="num" w:pos="360"/>
        <w:tab w:val="left" w:pos="720"/>
        <w:tab w:val="left" w:pos="1418"/>
      </w:tabs>
      <w:suppressAutoHyphens/>
      <w:spacing w:before="480" w:after="240"/>
      <w:jc w:val="both"/>
    </w:pPr>
    <w:rPr>
      <w:rFonts w:cs="Times New Roman"/>
      <w:bCs w:val="0"/>
      <w:spacing w:val="-2"/>
      <w:kern w:val="0"/>
      <w:szCs w:val="28"/>
      <w:lang w:eastAsia="en-US"/>
    </w:rPr>
  </w:style>
  <w:style w:type="paragraph" w:customStyle="1" w:styleId="AnnexLevel2">
    <w:name w:val="Annex_Level_2"/>
    <w:basedOn w:val="Heading2"/>
    <w:next w:val="Normal"/>
    <w:uiPriority w:val="99"/>
    <w:rsid w:val="00F31A94"/>
    <w:pPr>
      <w:numPr>
        <w:numId w:val="2"/>
      </w:numPr>
      <w:tabs>
        <w:tab w:val="clear" w:pos="567"/>
        <w:tab w:val="num" w:pos="360"/>
        <w:tab w:val="left" w:pos="540"/>
        <w:tab w:val="left" w:pos="720"/>
      </w:tabs>
      <w:spacing w:after="180"/>
      <w:jc w:val="both"/>
    </w:pPr>
    <w:rPr>
      <w:rFonts w:cs="Times New Roman"/>
      <w:caps/>
      <w:sz w:val="24"/>
      <w:szCs w:val="22"/>
      <w:lang w:eastAsia="en-US"/>
    </w:rPr>
  </w:style>
  <w:style w:type="paragraph" w:customStyle="1" w:styleId="Spiegel-Punkt">
    <w:name w:val="Spiegel-Punkt"/>
    <w:basedOn w:val="Normal"/>
    <w:uiPriority w:val="99"/>
    <w:rsid w:val="00F31A94"/>
    <w:pPr>
      <w:numPr>
        <w:numId w:val="3"/>
      </w:numPr>
      <w:spacing w:before="40" w:after="40" w:line="360" w:lineRule="auto"/>
      <w:ind w:left="284" w:hanging="284"/>
    </w:pPr>
    <w:rPr>
      <w:rFonts w:cs="Times New Roman"/>
      <w:szCs w:val="20"/>
    </w:rPr>
  </w:style>
  <w:style w:type="paragraph" w:customStyle="1" w:styleId="Zwischenzeile12">
    <w:name w:val="Zwischenzeile 1/2"/>
    <w:uiPriority w:val="99"/>
    <w:rsid w:val="00F31A94"/>
    <w:pPr>
      <w:tabs>
        <w:tab w:val="center" w:pos="7344"/>
      </w:tabs>
      <w:spacing w:line="-120" w:lineRule="auto"/>
    </w:pPr>
    <w:rPr>
      <w:sz w:val="24"/>
      <w:lang w:val="de-DE" w:eastAsia="de-DE"/>
    </w:rPr>
  </w:style>
  <w:style w:type="paragraph" w:customStyle="1" w:styleId="listoffigures">
    <w:name w:val="list of figures"/>
    <w:basedOn w:val="Heading1"/>
    <w:next w:val="Normal"/>
    <w:uiPriority w:val="99"/>
    <w:rsid w:val="00F31A94"/>
    <w:pPr>
      <w:keepNext w:val="0"/>
      <w:pageBreakBefore w:val="0"/>
      <w:numPr>
        <w:numId w:val="0"/>
      </w:numPr>
      <w:tabs>
        <w:tab w:val="left" w:pos="720"/>
        <w:tab w:val="left" w:pos="851"/>
      </w:tabs>
      <w:spacing w:before="0" w:after="240"/>
      <w:jc w:val="center"/>
      <w:outlineLvl w:val="9"/>
    </w:pPr>
    <w:rPr>
      <w:rFonts w:cs="Times New Roman"/>
      <w:bCs w:val="0"/>
      <w:kern w:val="0"/>
      <w:lang w:val="en-US" w:eastAsia="en-US"/>
    </w:rPr>
  </w:style>
  <w:style w:type="character" w:styleId="FootnoteReference">
    <w:name w:val="footnote reference"/>
    <w:basedOn w:val="DefaultParagraphFont"/>
    <w:uiPriority w:val="99"/>
    <w:rsid w:val="00F31A94"/>
    <w:rPr>
      <w:rFonts w:cs="Times New Roman"/>
      <w:vertAlign w:val="superscript"/>
    </w:rPr>
  </w:style>
  <w:style w:type="paragraph" w:styleId="FootnoteText">
    <w:name w:val="footnote text"/>
    <w:aliases w:val="Schriftart: 9 pt,Schriftart: 10 pt,Schriftart: 8 pt,WB-Fußnotentext,fn,Footnotes,Footnote ak"/>
    <w:basedOn w:val="Normal"/>
    <w:link w:val="FootnoteTextChar1"/>
    <w:autoRedefine/>
    <w:uiPriority w:val="99"/>
    <w:rsid w:val="00F31A94"/>
    <w:pPr>
      <w:tabs>
        <w:tab w:val="left" w:pos="284"/>
      </w:tabs>
      <w:ind w:left="284" w:hanging="284"/>
      <w:jc w:val="both"/>
    </w:pPr>
    <w:rPr>
      <w:rFonts w:cs="Times New Roman"/>
      <w:sz w:val="16"/>
      <w:szCs w:val="20"/>
      <w:lang w:eastAsia="en-GB"/>
    </w:rPr>
  </w:style>
  <w:style w:type="character" w:customStyle="1" w:styleId="FootnoteTextChar">
    <w:name w:val="Footnote Text Char"/>
    <w:aliases w:val="Schriftart: 9 pt Char,Schriftart: 10 pt Char,Schriftart: 8 pt Char,WB-Fußnotentext Char,fn Char,Footnotes Char,Footnote ak Char"/>
    <w:basedOn w:val="DefaultParagraphFont"/>
    <w:uiPriority w:val="99"/>
    <w:semiHidden/>
    <w:locked/>
    <w:rsid w:val="00003CF6"/>
    <w:rPr>
      <w:rFonts w:ascii="Arial" w:hAnsi="Arial" w:cs="Arial"/>
      <w:sz w:val="20"/>
      <w:szCs w:val="20"/>
      <w:lang w:val="en-GB"/>
    </w:rPr>
  </w:style>
  <w:style w:type="character" w:customStyle="1" w:styleId="FootnoteTextChar1">
    <w:name w:val="Footnote Text Char1"/>
    <w:aliases w:val="Schriftart: 9 pt Char1,Schriftart: 10 pt Char1,Schriftart: 8 pt Char1,WB-Fußnotentext Char1,fn Char1,Footnotes Char1,Footnote ak Char1"/>
    <w:basedOn w:val="DefaultParagraphFont"/>
    <w:link w:val="FootnoteText"/>
    <w:uiPriority w:val="99"/>
    <w:locked/>
    <w:rsid w:val="00F31A94"/>
    <w:rPr>
      <w:rFonts w:ascii="Arial" w:hAnsi="Arial" w:cs="Times New Roman"/>
      <w:sz w:val="16"/>
      <w:lang w:val="en-GB" w:eastAsia="en-GB"/>
    </w:rPr>
  </w:style>
  <w:style w:type="character" w:styleId="Strong">
    <w:name w:val="Strong"/>
    <w:basedOn w:val="DefaultParagraphFont"/>
    <w:uiPriority w:val="99"/>
    <w:qFormat/>
    <w:rsid w:val="00F31A94"/>
    <w:rPr>
      <w:rFonts w:cs="Times New Roman"/>
      <w:b/>
      <w:bCs/>
    </w:rPr>
  </w:style>
  <w:style w:type="character" w:customStyle="1" w:styleId="apple-converted-space">
    <w:name w:val="apple-converted-space"/>
    <w:basedOn w:val="DefaultParagraphFont"/>
    <w:uiPriority w:val="99"/>
    <w:rsid w:val="00F31A94"/>
    <w:rPr>
      <w:rFonts w:cs="Times New Roman"/>
    </w:rPr>
  </w:style>
  <w:style w:type="paragraph" w:styleId="DocumentMap">
    <w:name w:val="Document Map"/>
    <w:basedOn w:val="Normal"/>
    <w:link w:val="DocumentMapChar"/>
    <w:uiPriority w:val="99"/>
    <w:rsid w:val="00F31A94"/>
    <w:rPr>
      <w:rFonts w:ascii="Tahoma" w:hAnsi="Tahoma" w:cs="Tahoma"/>
      <w:sz w:val="16"/>
      <w:szCs w:val="16"/>
    </w:rPr>
  </w:style>
  <w:style w:type="character" w:customStyle="1" w:styleId="DocumentMapChar">
    <w:name w:val="Document Map Char"/>
    <w:basedOn w:val="DefaultParagraphFont"/>
    <w:link w:val="DocumentMap"/>
    <w:uiPriority w:val="99"/>
    <w:locked/>
    <w:rsid w:val="00F31A94"/>
    <w:rPr>
      <w:rFonts w:ascii="Tahoma" w:hAnsi="Tahoma" w:cs="Tahoma"/>
      <w:sz w:val="16"/>
      <w:szCs w:val="16"/>
      <w:lang w:val="de-DE" w:eastAsia="de-DE"/>
    </w:rPr>
  </w:style>
  <w:style w:type="paragraph" w:styleId="NormalWeb">
    <w:name w:val="Normal (Web)"/>
    <w:basedOn w:val="Normal"/>
    <w:uiPriority w:val="99"/>
    <w:rsid w:val="00F31A94"/>
    <w:rPr>
      <w:rFonts w:ascii="Times New Roman" w:hAnsi="Times New Roman" w:cs="Times New Roman"/>
    </w:rPr>
  </w:style>
  <w:style w:type="paragraph" w:styleId="BalloonText">
    <w:name w:val="Balloon Text"/>
    <w:basedOn w:val="Normal"/>
    <w:link w:val="BalloonTextChar"/>
    <w:uiPriority w:val="99"/>
    <w:rsid w:val="00F31A94"/>
    <w:rPr>
      <w:rFonts w:ascii="Tahoma" w:hAnsi="Tahoma" w:cs="Tahoma"/>
      <w:sz w:val="16"/>
      <w:szCs w:val="16"/>
    </w:rPr>
  </w:style>
  <w:style w:type="character" w:customStyle="1" w:styleId="BalloonTextChar">
    <w:name w:val="Balloon Text Char"/>
    <w:basedOn w:val="DefaultParagraphFont"/>
    <w:link w:val="BalloonText"/>
    <w:uiPriority w:val="99"/>
    <w:locked/>
    <w:rsid w:val="00F31A94"/>
    <w:rPr>
      <w:rFonts w:ascii="Tahoma" w:hAnsi="Tahoma" w:cs="Tahoma"/>
      <w:sz w:val="16"/>
      <w:szCs w:val="16"/>
      <w:lang w:val="de-DE" w:eastAsia="de-DE"/>
    </w:rPr>
  </w:style>
  <w:style w:type="character" w:styleId="FollowedHyperlink">
    <w:name w:val="FollowedHyperlink"/>
    <w:basedOn w:val="DefaultParagraphFont"/>
    <w:uiPriority w:val="99"/>
    <w:rsid w:val="00F31A94"/>
    <w:rPr>
      <w:rFonts w:cs="Times New Roman"/>
      <w:color w:val="800080"/>
      <w:u w:val="single"/>
    </w:rPr>
  </w:style>
  <w:style w:type="paragraph" w:styleId="ListParagraph">
    <w:name w:val="List Paragraph"/>
    <w:basedOn w:val="Normal"/>
    <w:uiPriority w:val="99"/>
    <w:qFormat/>
    <w:rsid w:val="002E7B69"/>
    <w:pPr>
      <w:ind w:left="720"/>
      <w:contextualSpacing/>
    </w:pPr>
  </w:style>
  <w:style w:type="character" w:customStyle="1" w:styleId="apple-style-span">
    <w:name w:val="apple-style-span"/>
    <w:basedOn w:val="DefaultParagraphFont"/>
    <w:uiPriority w:val="99"/>
    <w:rsid w:val="007C6A9C"/>
    <w:rPr>
      <w:rFonts w:cs="Times New Roman"/>
    </w:rPr>
  </w:style>
  <w:style w:type="table" w:styleId="TableGrid">
    <w:name w:val="Table Grid"/>
    <w:basedOn w:val="TableNormal"/>
    <w:uiPriority w:val="99"/>
    <w:rsid w:val="006C5213"/>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57105"/>
    <w:rPr>
      <w:rFonts w:cs="Times New Roman"/>
      <w:sz w:val="16"/>
      <w:szCs w:val="16"/>
    </w:rPr>
  </w:style>
  <w:style w:type="paragraph" w:styleId="CommentText">
    <w:name w:val="annotation text"/>
    <w:basedOn w:val="Normal"/>
    <w:link w:val="CommentTextChar"/>
    <w:uiPriority w:val="99"/>
    <w:semiHidden/>
    <w:rsid w:val="00B57105"/>
    <w:rPr>
      <w:sz w:val="20"/>
      <w:szCs w:val="20"/>
    </w:rPr>
  </w:style>
  <w:style w:type="character" w:customStyle="1" w:styleId="CommentTextChar">
    <w:name w:val="Comment Text Char"/>
    <w:basedOn w:val="DefaultParagraphFont"/>
    <w:link w:val="CommentText"/>
    <w:uiPriority w:val="99"/>
    <w:semiHidden/>
    <w:locked/>
    <w:rsid w:val="00003CF6"/>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rsid w:val="00B57105"/>
    <w:rPr>
      <w:b/>
      <w:bCs/>
    </w:rPr>
  </w:style>
  <w:style w:type="character" w:customStyle="1" w:styleId="CommentSubjectChar">
    <w:name w:val="Comment Subject Char"/>
    <w:basedOn w:val="CommentTextChar"/>
    <w:link w:val="CommentSubject"/>
    <w:uiPriority w:val="99"/>
    <w:semiHidden/>
    <w:locked/>
    <w:rsid w:val="00003CF6"/>
    <w:rPr>
      <w:rFonts w:ascii="Arial" w:hAnsi="Arial" w:cs="Arial"/>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BA0"/>
    <w:rPr>
      <w:rFonts w:ascii="Arial" w:hAnsi="Arial" w:cs="Arial"/>
      <w:sz w:val="24"/>
      <w:szCs w:val="24"/>
      <w:lang w:val="en-GB" w:eastAsia="de-DE"/>
    </w:rPr>
  </w:style>
  <w:style w:type="paragraph" w:styleId="Heading1">
    <w:name w:val="heading 1"/>
    <w:basedOn w:val="Text"/>
    <w:next w:val="Text"/>
    <w:link w:val="Heading1Char"/>
    <w:uiPriority w:val="99"/>
    <w:qFormat/>
    <w:rsid w:val="00D70205"/>
    <w:pPr>
      <w:keepNext/>
      <w:pageBreakBefore/>
      <w:numPr>
        <w:numId w:val="1"/>
      </w:numPr>
      <w:spacing w:before="240" w:after="60" w:line="240" w:lineRule="auto"/>
      <w:outlineLvl w:val="0"/>
    </w:pPr>
    <w:rPr>
      <w:b/>
      <w:bCs/>
      <w:kern w:val="32"/>
      <w:sz w:val="32"/>
      <w:szCs w:val="32"/>
    </w:rPr>
  </w:style>
  <w:style w:type="paragraph" w:styleId="Heading2">
    <w:name w:val="heading 2"/>
    <w:basedOn w:val="Text"/>
    <w:next w:val="Text"/>
    <w:link w:val="Heading2Char"/>
    <w:uiPriority w:val="99"/>
    <w:qFormat/>
    <w:rsid w:val="00D70205"/>
    <w:pPr>
      <w:keepNext/>
      <w:numPr>
        <w:ilvl w:val="1"/>
        <w:numId w:val="1"/>
      </w:numPr>
      <w:spacing w:before="240" w:after="60" w:line="240" w:lineRule="auto"/>
      <w:outlineLvl w:val="1"/>
    </w:pPr>
    <w:rPr>
      <w:b/>
      <w:bCs/>
      <w:i/>
      <w:iCs/>
      <w:sz w:val="28"/>
      <w:szCs w:val="28"/>
    </w:rPr>
  </w:style>
  <w:style w:type="paragraph" w:styleId="Heading3">
    <w:name w:val="heading 3"/>
    <w:basedOn w:val="Text"/>
    <w:next w:val="Text"/>
    <w:link w:val="Heading3Char"/>
    <w:uiPriority w:val="99"/>
    <w:qFormat/>
    <w:rsid w:val="00D70205"/>
    <w:pPr>
      <w:keepNext/>
      <w:numPr>
        <w:ilvl w:val="2"/>
        <w:numId w:val="1"/>
      </w:numPr>
      <w:spacing w:before="240" w:after="60" w:line="240" w:lineRule="auto"/>
      <w:outlineLvl w:val="2"/>
    </w:pPr>
    <w:rPr>
      <w:b/>
      <w:bCs/>
      <w:sz w:val="26"/>
      <w:szCs w:val="26"/>
    </w:rPr>
  </w:style>
  <w:style w:type="paragraph" w:styleId="Heading4">
    <w:name w:val="heading 4"/>
    <w:basedOn w:val="Normal"/>
    <w:next w:val="Normal"/>
    <w:link w:val="Heading4Char"/>
    <w:uiPriority w:val="99"/>
    <w:qFormat/>
    <w:rsid w:val="00D70205"/>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70205"/>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7020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70205"/>
    <w:pPr>
      <w:numPr>
        <w:ilvl w:val="6"/>
        <w:numId w:val="1"/>
      </w:numPr>
      <w:spacing w:before="240" w:after="60"/>
      <w:outlineLvl w:val="6"/>
    </w:pPr>
  </w:style>
  <w:style w:type="paragraph" w:styleId="Heading8">
    <w:name w:val="heading 8"/>
    <w:basedOn w:val="Normal"/>
    <w:next w:val="Normal"/>
    <w:link w:val="Heading8Char"/>
    <w:uiPriority w:val="99"/>
    <w:qFormat/>
    <w:rsid w:val="00D70205"/>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D70205"/>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1A94"/>
    <w:rPr>
      <w:rFonts w:ascii="Arial" w:hAnsi="Arial" w:cs="Arial"/>
      <w:b/>
      <w:bCs/>
      <w:kern w:val="32"/>
      <w:sz w:val="32"/>
      <w:szCs w:val="32"/>
      <w:lang w:val="en-GB" w:eastAsia="de-DE"/>
    </w:rPr>
  </w:style>
  <w:style w:type="character" w:customStyle="1" w:styleId="Heading2Char">
    <w:name w:val="Heading 2 Char"/>
    <w:basedOn w:val="DefaultParagraphFont"/>
    <w:link w:val="Heading2"/>
    <w:uiPriority w:val="99"/>
    <w:locked/>
    <w:rsid w:val="00F31A94"/>
    <w:rPr>
      <w:rFonts w:ascii="Arial" w:hAnsi="Arial" w:cs="Arial"/>
      <w:b/>
      <w:bCs/>
      <w:i/>
      <w:iCs/>
      <w:sz w:val="28"/>
      <w:szCs w:val="28"/>
      <w:lang w:val="en-GB" w:eastAsia="de-DE"/>
    </w:rPr>
  </w:style>
  <w:style w:type="character" w:customStyle="1" w:styleId="Heading3Char">
    <w:name w:val="Heading 3 Char"/>
    <w:basedOn w:val="DefaultParagraphFont"/>
    <w:link w:val="Heading3"/>
    <w:uiPriority w:val="99"/>
    <w:locked/>
    <w:rsid w:val="00F31A94"/>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30FC1"/>
    <w:rPr>
      <w:rFonts w:ascii="Arial" w:hAnsi="Arial" w:cs="Arial"/>
      <w:b/>
      <w:bCs/>
      <w:sz w:val="28"/>
      <w:szCs w:val="28"/>
      <w:lang w:val="de-DE" w:eastAsia="de-DE"/>
    </w:rPr>
  </w:style>
  <w:style w:type="character" w:customStyle="1" w:styleId="Heading5Char">
    <w:name w:val="Heading 5 Char"/>
    <w:basedOn w:val="DefaultParagraphFont"/>
    <w:link w:val="Heading5"/>
    <w:uiPriority w:val="99"/>
    <w:locked/>
    <w:rsid w:val="00F31A94"/>
    <w:rPr>
      <w:rFonts w:ascii="Arial" w:hAnsi="Arial" w:cs="Arial"/>
      <w:b/>
      <w:bCs/>
      <w:i/>
      <w:iCs/>
      <w:sz w:val="26"/>
      <w:szCs w:val="26"/>
      <w:lang w:val="de-DE" w:eastAsia="de-DE"/>
    </w:rPr>
  </w:style>
  <w:style w:type="character" w:customStyle="1" w:styleId="Heading6Char">
    <w:name w:val="Heading 6 Char"/>
    <w:basedOn w:val="DefaultParagraphFont"/>
    <w:link w:val="Heading6"/>
    <w:uiPriority w:val="99"/>
    <w:locked/>
    <w:rsid w:val="00F31A94"/>
    <w:rPr>
      <w:rFonts w:ascii="Arial" w:hAnsi="Arial" w:cs="Arial"/>
      <w:b/>
      <w:bCs/>
      <w:sz w:val="22"/>
      <w:szCs w:val="22"/>
      <w:lang w:val="de-DE" w:eastAsia="de-DE"/>
    </w:rPr>
  </w:style>
  <w:style w:type="character" w:customStyle="1" w:styleId="Heading7Char">
    <w:name w:val="Heading 7 Char"/>
    <w:basedOn w:val="DefaultParagraphFont"/>
    <w:link w:val="Heading7"/>
    <w:uiPriority w:val="99"/>
    <w:locked/>
    <w:rsid w:val="00F31A94"/>
    <w:rPr>
      <w:rFonts w:ascii="Arial" w:hAnsi="Arial" w:cs="Arial"/>
      <w:sz w:val="24"/>
      <w:szCs w:val="24"/>
      <w:lang w:val="de-DE" w:eastAsia="de-DE"/>
    </w:rPr>
  </w:style>
  <w:style w:type="character" w:customStyle="1" w:styleId="Heading8Char">
    <w:name w:val="Heading 8 Char"/>
    <w:basedOn w:val="DefaultParagraphFont"/>
    <w:link w:val="Heading8"/>
    <w:uiPriority w:val="99"/>
    <w:locked/>
    <w:rsid w:val="00F31A94"/>
    <w:rPr>
      <w:rFonts w:ascii="Arial" w:hAnsi="Arial" w:cs="Arial"/>
      <w:i/>
      <w:iCs/>
      <w:sz w:val="24"/>
      <w:szCs w:val="24"/>
      <w:lang w:val="de-DE" w:eastAsia="de-DE"/>
    </w:rPr>
  </w:style>
  <w:style w:type="character" w:customStyle="1" w:styleId="Heading9Char">
    <w:name w:val="Heading 9 Char"/>
    <w:basedOn w:val="DefaultParagraphFont"/>
    <w:link w:val="Heading9"/>
    <w:uiPriority w:val="99"/>
    <w:locked/>
    <w:rsid w:val="00F31A94"/>
    <w:rPr>
      <w:rFonts w:ascii="Arial" w:hAnsi="Arial" w:cs="Arial"/>
      <w:sz w:val="22"/>
      <w:szCs w:val="22"/>
      <w:lang w:val="de-DE" w:eastAsia="de-DE"/>
    </w:rPr>
  </w:style>
  <w:style w:type="paragraph" w:customStyle="1" w:styleId="Text">
    <w:name w:val="Text"/>
    <w:basedOn w:val="Normal"/>
    <w:link w:val="TextChar"/>
    <w:uiPriority w:val="99"/>
    <w:rsid w:val="002120C0"/>
    <w:pPr>
      <w:spacing w:after="120" w:line="360" w:lineRule="auto"/>
    </w:pPr>
  </w:style>
  <w:style w:type="character" w:customStyle="1" w:styleId="TextChar">
    <w:name w:val="Text Char"/>
    <w:basedOn w:val="DefaultParagraphFont"/>
    <w:link w:val="Text"/>
    <w:uiPriority w:val="99"/>
    <w:locked/>
    <w:rsid w:val="00570CEE"/>
    <w:rPr>
      <w:rFonts w:cs="Times New Roman"/>
      <w:sz w:val="24"/>
      <w:szCs w:val="24"/>
      <w:lang w:val="en-GB" w:eastAsia="de-DE" w:bidi="ar-SA"/>
    </w:rPr>
  </w:style>
  <w:style w:type="paragraph" w:styleId="Header">
    <w:name w:val="header"/>
    <w:basedOn w:val="Normal"/>
    <w:link w:val="HeaderChar"/>
    <w:uiPriority w:val="99"/>
    <w:rsid w:val="00C939A7"/>
    <w:pPr>
      <w:tabs>
        <w:tab w:val="center" w:pos="4536"/>
        <w:tab w:val="right" w:pos="9072"/>
      </w:tabs>
    </w:pPr>
  </w:style>
  <w:style w:type="character" w:customStyle="1" w:styleId="HeaderChar">
    <w:name w:val="Header Char"/>
    <w:basedOn w:val="DefaultParagraphFont"/>
    <w:link w:val="Header"/>
    <w:uiPriority w:val="99"/>
    <w:locked/>
    <w:rsid w:val="00F31A94"/>
    <w:rPr>
      <w:rFonts w:ascii="Arial" w:hAnsi="Arial" w:cs="Arial"/>
      <w:sz w:val="24"/>
      <w:szCs w:val="24"/>
      <w:lang w:val="de-DE" w:eastAsia="de-DE"/>
    </w:rPr>
  </w:style>
  <w:style w:type="paragraph" w:styleId="Footer">
    <w:name w:val="footer"/>
    <w:basedOn w:val="Normal"/>
    <w:link w:val="FooterChar"/>
    <w:uiPriority w:val="99"/>
    <w:rsid w:val="00C939A7"/>
    <w:pPr>
      <w:tabs>
        <w:tab w:val="center" w:pos="4536"/>
        <w:tab w:val="right" w:pos="9072"/>
      </w:tabs>
    </w:pPr>
  </w:style>
  <w:style w:type="character" w:customStyle="1" w:styleId="FooterChar">
    <w:name w:val="Footer Char"/>
    <w:basedOn w:val="DefaultParagraphFont"/>
    <w:link w:val="Footer"/>
    <w:uiPriority w:val="99"/>
    <w:locked/>
    <w:rsid w:val="00F31A94"/>
    <w:rPr>
      <w:rFonts w:ascii="Arial" w:hAnsi="Arial" w:cs="Arial"/>
      <w:sz w:val="24"/>
      <w:szCs w:val="24"/>
      <w:lang w:val="de-DE" w:eastAsia="de-DE"/>
    </w:rPr>
  </w:style>
  <w:style w:type="character" w:styleId="PageNumber">
    <w:name w:val="page number"/>
    <w:basedOn w:val="DefaultParagraphFont"/>
    <w:uiPriority w:val="99"/>
    <w:rsid w:val="00676885"/>
    <w:rPr>
      <w:rFonts w:cs="Times New Roman"/>
    </w:rPr>
  </w:style>
  <w:style w:type="paragraph" w:customStyle="1" w:styleId="Title1">
    <w:name w:val="Title1"/>
    <w:basedOn w:val="Heading1"/>
    <w:uiPriority w:val="99"/>
    <w:rsid w:val="00D70205"/>
    <w:pPr>
      <w:pageBreakBefore w:val="0"/>
      <w:numPr>
        <w:numId w:val="0"/>
      </w:numPr>
      <w:jc w:val="center"/>
    </w:pPr>
  </w:style>
  <w:style w:type="paragraph" w:styleId="TOC1">
    <w:name w:val="toc 1"/>
    <w:basedOn w:val="Normal"/>
    <w:next w:val="Normal"/>
    <w:autoRedefine/>
    <w:uiPriority w:val="39"/>
    <w:rsid w:val="00EB77CC"/>
    <w:pPr>
      <w:spacing w:before="360"/>
    </w:pPr>
    <w:rPr>
      <w:b/>
      <w:bCs/>
      <w:caps/>
    </w:rPr>
  </w:style>
  <w:style w:type="paragraph" w:styleId="TOC2">
    <w:name w:val="toc 2"/>
    <w:basedOn w:val="Normal"/>
    <w:next w:val="Normal"/>
    <w:autoRedefine/>
    <w:uiPriority w:val="39"/>
    <w:rsid w:val="00EB77CC"/>
    <w:pPr>
      <w:spacing w:before="240"/>
    </w:pPr>
    <w:rPr>
      <w:b/>
      <w:bCs/>
      <w:sz w:val="20"/>
      <w:szCs w:val="20"/>
    </w:rPr>
  </w:style>
  <w:style w:type="paragraph" w:styleId="TOC3">
    <w:name w:val="toc 3"/>
    <w:basedOn w:val="Normal"/>
    <w:next w:val="Normal"/>
    <w:autoRedefine/>
    <w:uiPriority w:val="99"/>
    <w:semiHidden/>
    <w:rsid w:val="00EB77CC"/>
    <w:pPr>
      <w:ind w:left="240"/>
    </w:pPr>
    <w:rPr>
      <w:sz w:val="20"/>
      <w:szCs w:val="20"/>
    </w:rPr>
  </w:style>
  <w:style w:type="paragraph" w:styleId="TOC4">
    <w:name w:val="toc 4"/>
    <w:basedOn w:val="Normal"/>
    <w:next w:val="Normal"/>
    <w:autoRedefine/>
    <w:uiPriority w:val="99"/>
    <w:semiHidden/>
    <w:rsid w:val="00EB77CC"/>
    <w:pPr>
      <w:ind w:left="480"/>
    </w:pPr>
    <w:rPr>
      <w:sz w:val="20"/>
      <w:szCs w:val="20"/>
    </w:rPr>
  </w:style>
  <w:style w:type="paragraph" w:styleId="TOC5">
    <w:name w:val="toc 5"/>
    <w:basedOn w:val="Normal"/>
    <w:next w:val="Normal"/>
    <w:autoRedefine/>
    <w:uiPriority w:val="99"/>
    <w:semiHidden/>
    <w:rsid w:val="00EB77CC"/>
    <w:pPr>
      <w:ind w:left="720"/>
    </w:pPr>
    <w:rPr>
      <w:sz w:val="20"/>
      <w:szCs w:val="20"/>
    </w:rPr>
  </w:style>
  <w:style w:type="paragraph" w:styleId="TOC6">
    <w:name w:val="toc 6"/>
    <w:basedOn w:val="Normal"/>
    <w:next w:val="Normal"/>
    <w:autoRedefine/>
    <w:uiPriority w:val="99"/>
    <w:semiHidden/>
    <w:rsid w:val="00EB77CC"/>
    <w:pPr>
      <w:ind w:left="960"/>
    </w:pPr>
    <w:rPr>
      <w:sz w:val="20"/>
      <w:szCs w:val="20"/>
    </w:rPr>
  </w:style>
  <w:style w:type="paragraph" w:styleId="TOC7">
    <w:name w:val="toc 7"/>
    <w:basedOn w:val="Normal"/>
    <w:next w:val="Normal"/>
    <w:autoRedefine/>
    <w:uiPriority w:val="99"/>
    <w:semiHidden/>
    <w:rsid w:val="00EB77CC"/>
    <w:pPr>
      <w:ind w:left="1200"/>
    </w:pPr>
    <w:rPr>
      <w:sz w:val="20"/>
      <w:szCs w:val="20"/>
    </w:rPr>
  </w:style>
  <w:style w:type="paragraph" w:styleId="TOC8">
    <w:name w:val="toc 8"/>
    <w:basedOn w:val="Normal"/>
    <w:next w:val="Normal"/>
    <w:autoRedefine/>
    <w:uiPriority w:val="99"/>
    <w:semiHidden/>
    <w:rsid w:val="00EB77CC"/>
    <w:pPr>
      <w:ind w:left="1440"/>
    </w:pPr>
    <w:rPr>
      <w:sz w:val="20"/>
      <w:szCs w:val="20"/>
    </w:rPr>
  </w:style>
  <w:style w:type="paragraph" w:styleId="TOC9">
    <w:name w:val="toc 9"/>
    <w:basedOn w:val="Normal"/>
    <w:next w:val="Normal"/>
    <w:autoRedefine/>
    <w:uiPriority w:val="99"/>
    <w:semiHidden/>
    <w:rsid w:val="00EB77CC"/>
    <w:pPr>
      <w:ind w:left="1680"/>
    </w:pPr>
    <w:rPr>
      <w:sz w:val="20"/>
      <w:szCs w:val="20"/>
    </w:rPr>
  </w:style>
  <w:style w:type="character" w:styleId="Hyperlink">
    <w:name w:val="Hyperlink"/>
    <w:basedOn w:val="DefaultParagraphFont"/>
    <w:uiPriority w:val="99"/>
    <w:rsid w:val="00EB77CC"/>
    <w:rPr>
      <w:rFonts w:cs="Times New Roman"/>
      <w:color w:val="0000FF"/>
      <w:u w:val="single"/>
    </w:rPr>
  </w:style>
  <w:style w:type="paragraph" w:styleId="TableofFigures">
    <w:name w:val="table of figures"/>
    <w:basedOn w:val="Normal"/>
    <w:next w:val="Normal"/>
    <w:uiPriority w:val="99"/>
    <w:semiHidden/>
    <w:rsid w:val="00E76E9B"/>
    <w:pPr>
      <w:ind w:left="480" w:hanging="480"/>
    </w:pPr>
  </w:style>
  <w:style w:type="paragraph" w:customStyle="1" w:styleId="AnnexLevel1">
    <w:name w:val="Annex_Level_1"/>
    <w:basedOn w:val="Heading1"/>
    <w:next w:val="Text"/>
    <w:uiPriority w:val="99"/>
    <w:rsid w:val="00F31A94"/>
    <w:pPr>
      <w:numPr>
        <w:numId w:val="2"/>
      </w:numPr>
      <w:tabs>
        <w:tab w:val="clear" w:pos="0"/>
        <w:tab w:val="num" w:pos="360"/>
        <w:tab w:val="left" w:pos="720"/>
        <w:tab w:val="left" w:pos="1418"/>
      </w:tabs>
      <w:suppressAutoHyphens/>
      <w:spacing w:before="480" w:after="240"/>
      <w:jc w:val="both"/>
    </w:pPr>
    <w:rPr>
      <w:rFonts w:cs="Times New Roman"/>
      <w:bCs w:val="0"/>
      <w:spacing w:val="-2"/>
      <w:kern w:val="0"/>
      <w:szCs w:val="28"/>
      <w:lang w:eastAsia="en-US"/>
    </w:rPr>
  </w:style>
  <w:style w:type="paragraph" w:customStyle="1" w:styleId="AnnexLevel2">
    <w:name w:val="Annex_Level_2"/>
    <w:basedOn w:val="Heading2"/>
    <w:next w:val="Normal"/>
    <w:uiPriority w:val="99"/>
    <w:rsid w:val="00F31A94"/>
    <w:pPr>
      <w:numPr>
        <w:numId w:val="2"/>
      </w:numPr>
      <w:tabs>
        <w:tab w:val="clear" w:pos="567"/>
        <w:tab w:val="num" w:pos="360"/>
        <w:tab w:val="left" w:pos="540"/>
        <w:tab w:val="left" w:pos="720"/>
      </w:tabs>
      <w:spacing w:after="180"/>
      <w:jc w:val="both"/>
    </w:pPr>
    <w:rPr>
      <w:rFonts w:cs="Times New Roman"/>
      <w:caps/>
      <w:sz w:val="24"/>
      <w:szCs w:val="22"/>
      <w:lang w:eastAsia="en-US"/>
    </w:rPr>
  </w:style>
  <w:style w:type="paragraph" w:customStyle="1" w:styleId="Spiegel-Punkt">
    <w:name w:val="Spiegel-Punkt"/>
    <w:basedOn w:val="Normal"/>
    <w:uiPriority w:val="99"/>
    <w:rsid w:val="00F31A94"/>
    <w:pPr>
      <w:numPr>
        <w:numId w:val="3"/>
      </w:numPr>
      <w:spacing w:before="40" w:after="40" w:line="360" w:lineRule="auto"/>
      <w:ind w:left="284" w:hanging="284"/>
    </w:pPr>
    <w:rPr>
      <w:rFonts w:cs="Times New Roman"/>
      <w:szCs w:val="20"/>
    </w:rPr>
  </w:style>
  <w:style w:type="paragraph" w:customStyle="1" w:styleId="Zwischenzeile12">
    <w:name w:val="Zwischenzeile 1/2"/>
    <w:uiPriority w:val="99"/>
    <w:rsid w:val="00F31A94"/>
    <w:pPr>
      <w:tabs>
        <w:tab w:val="center" w:pos="7344"/>
      </w:tabs>
      <w:spacing w:line="-120" w:lineRule="auto"/>
    </w:pPr>
    <w:rPr>
      <w:sz w:val="24"/>
      <w:lang w:val="de-DE" w:eastAsia="de-DE"/>
    </w:rPr>
  </w:style>
  <w:style w:type="paragraph" w:customStyle="1" w:styleId="listoffigures">
    <w:name w:val="list of figures"/>
    <w:basedOn w:val="Heading1"/>
    <w:next w:val="Normal"/>
    <w:uiPriority w:val="99"/>
    <w:rsid w:val="00F31A94"/>
    <w:pPr>
      <w:keepNext w:val="0"/>
      <w:pageBreakBefore w:val="0"/>
      <w:numPr>
        <w:numId w:val="0"/>
      </w:numPr>
      <w:tabs>
        <w:tab w:val="left" w:pos="720"/>
        <w:tab w:val="left" w:pos="851"/>
      </w:tabs>
      <w:spacing w:before="0" w:after="240"/>
      <w:jc w:val="center"/>
      <w:outlineLvl w:val="9"/>
    </w:pPr>
    <w:rPr>
      <w:rFonts w:cs="Times New Roman"/>
      <w:bCs w:val="0"/>
      <w:kern w:val="0"/>
      <w:lang w:val="en-US" w:eastAsia="en-US"/>
    </w:rPr>
  </w:style>
  <w:style w:type="character" w:styleId="FootnoteReference">
    <w:name w:val="footnote reference"/>
    <w:basedOn w:val="DefaultParagraphFont"/>
    <w:uiPriority w:val="99"/>
    <w:rsid w:val="00F31A94"/>
    <w:rPr>
      <w:rFonts w:cs="Times New Roman"/>
      <w:vertAlign w:val="superscript"/>
    </w:rPr>
  </w:style>
  <w:style w:type="paragraph" w:styleId="FootnoteText">
    <w:name w:val="footnote text"/>
    <w:aliases w:val="Schriftart: 9 pt,Schriftart: 10 pt,Schriftart: 8 pt,WB-Fußnotentext,fn,Footnotes,Footnote ak"/>
    <w:basedOn w:val="Normal"/>
    <w:link w:val="FootnoteTextChar1"/>
    <w:autoRedefine/>
    <w:uiPriority w:val="99"/>
    <w:rsid w:val="00F31A94"/>
    <w:pPr>
      <w:tabs>
        <w:tab w:val="left" w:pos="284"/>
      </w:tabs>
      <w:ind w:left="284" w:hanging="284"/>
      <w:jc w:val="both"/>
    </w:pPr>
    <w:rPr>
      <w:rFonts w:cs="Times New Roman"/>
      <w:sz w:val="16"/>
      <w:szCs w:val="20"/>
      <w:lang w:eastAsia="en-GB"/>
    </w:rPr>
  </w:style>
  <w:style w:type="character" w:customStyle="1" w:styleId="FootnoteTextChar">
    <w:name w:val="Footnote Text Char"/>
    <w:aliases w:val="Schriftart: 9 pt Char,Schriftart: 10 pt Char,Schriftart: 8 pt Char,WB-Fußnotentext Char,fn Char,Footnotes Char,Footnote ak Char"/>
    <w:basedOn w:val="DefaultParagraphFont"/>
    <w:uiPriority w:val="99"/>
    <w:semiHidden/>
    <w:locked/>
    <w:rsid w:val="00003CF6"/>
    <w:rPr>
      <w:rFonts w:ascii="Arial" w:hAnsi="Arial" w:cs="Arial"/>
      <w:sz w:val="20"/>
      <w:szCs w:val="20"/>
      <w:lang w:val="en-GB"/>
    </w:rPr>
  </w:style>
  <w:style w:type="character" w:customStyle="1" w:styleId="FootnoteTextChar1">
    <w:name w:val="Footnote Text Char1"/>
    <w:aliases w:val="Schriftart: 9 pt Char1,Schriftart: 10 pt Char1,Schriftart: 8 pt Char1,WB-Fußnotentext Char1,fn Char1,Footnotes Char1,Footnote ak Char1"/>
    <w:basedOn w:val="DefaultParagraphFont"/>
    <w:link w:val="FootnoteText"/>
    <w:uiPriority w:val="99"/>
    <w:locked/>
    <w:rsid w:val="00F31A94"/>
    <w:rPr>
      <w:rFonts w:ascii="Arial" w:hAnsi="Arial" w:cs="Times New Roman"/>
      <w:sz w:val="16"/>
      <w:lang w:val="en-GB" w:eastAsia="en-GB"/>
    </w:rPr>
  </w:style>
  <w:style w:type="character" w:styleId="Strong">
    <w:name w:val="Strong"/>
    <w:basedOn w:val="DefaultParagraphFont"/>
    <w:uiPriority w:val="99"/>
    <w:qFormat/>
    <w:rsid w:val="00F31A94"/>
    <w:rPr>
      <w:rFonts w:cs="Times New Roman"/>
      <w:b/>
      <w:bCs/>
    </w:rPr>
  </w:style>
  <w:style w:type="character" w:customStyle="1" w:styleId="apple-converted-space">
    <w:name w:val="apple-converted-space"/>
    <w:basedOn w:val="DefaultParagraphFont"/>
    <w:uiPriority w:val="99"/>
    <w:rsid w:val="00F31A94"/>
    <w:rPr>
      <w:rFonts w:cs="Times New Roman"/>
    </w:rPr>
  </w:style>
  <w:style w:type="paragraph" w:styleId="DocumentMap">
    <w:name w:val="Document Map"/>
    <w:basedOn w:val="Normal"/>
    <w:link w:val="DocumentMapChar"/>
    <w:uiPriority w:val="99"/>
    <w:rsid w:val="00F31A94"/>
    <w:rPr>
      <w:rFonts w:ascii="Tahoma" w:hAnsi="Tahoma" w:cs="Tahoma"/>
      <w:sz w:val="16"/>
      <w:szCs w:val="16"/>
    </w:rPr>
  </w:style>
  <w:style w:type="character" w:customStyle="1" w:styleId="DocumentMapChar">
    <w:name w:val="Document Map Char"/>
    <w:basedOn w:val="DefaultParagraphFont"/>
    <w:link w:val="DocumentMap"/>
    <w:uiPriority w:val="99"/>
    <w:locked/>
    <w:rsid w:val="00F31A94"/>
    <w:rPr>
      <w:rFonts w:ascii="Tahoma" w:hAnsi="Tahoma" w:cs="Tahoma"/>
      <w:sz w:val="16"/>
      <w:szCs w:val="16"/>
      <w:lang w:val="de-DE" w:eastAsia="de-DE"/>
    </w:rPr>
  </w:style>
  <w:style w:type="paragraph" w:styleId="NormalWeb">
    <w:name w:val="Normal (Web)"/>
    <w:basedOn w:val="Normal"/>
    <w:uiPriority w:val="99"/>
    <w:rsid w:val="00F31A94"/>
    <w:rPr>
      <w:rFonts w:ascii="Times New Roman" w:hAnsi="Times New Roman" w:cs="Times New Roman"/>
    </w:rPr>
  </w:style>
  <w:style w:type="paragraph" w:styleId="BalloonText">
    <w:name w:val="Balloon Text"/>
    <w:basedOn w:val="Normal"/>
    <w:link w:val="BalloonTextChar"/>
    <w:uiPriority w:val="99"/>
    <w:rsid w:val="00F31A94"/>
    <w:rPr>
      <w:rFonts w:ascii="Tahoma" w:hAnsi="Tahoma" w:cs="Tahoma"/>
      <w:sz w:val="16"/>
      <w:szCs w:val="16"/>
    </w:rPr>
  </w:style>
  <w:style w:type="character" w:customStyle="1" w:styleId="BalloonTextChar">
    <w:name w:val="Balloon Text Char"/>
    <w:basedOn w:val="DefaultParagraphFont"/>
    <w:link w:val="BalloonText"/>
    <w:uiPriority w:val="99"/>
    <w:locked/>
    <w:rsid w:val="00F31A94"/>
    <w:rPr>
      <w:rFonts w:ascii="Tahoma" w:hAnsi="Tahoma" w:cs="Tahoma"/>
      <w:sz w:val="16"/>
      <w:szCs w:val="16"/>
      <w:lang w:val="de-DE" w:eastAsia="de-DE"/>
    </w:rPr>
  </w:style>
  <w:style w:type="character" w:styleId="FollowedHyperlink">
    <w:name w:val="FollowedHyperlink"/>
    <w:basedOn w:val="DefaultParagraphFont"/>
    <w:uiPriority w:val="99"/>
    <w:rsid w:val="00F31A94"/>
    <w:rPr>
      <w:rFonts w:cs="Times New Roman"/>
      <w:color w:val="800080"/>
      <w:u w:val="single"/>
    </w:rPr>
  </w:style>
  <w:style w:type="paragraph" w:styleId="ListParagraph">
    <w:name w:val="List Paragraph"/>
    <w:basedOn w:val="Normal"/>
    <w:uiPriority w:val="99"/>
    <w:qFormat/>
    <w:rsid w:val="002E7B69"/>
    <w:pPr>
      <w:ind w:left="720"/>
      <w:contextualSpacing/>
    </w:pPr>
  </w:style>
  <w:style w:type="character" w:customStyle="1" w:styleId="apple-style-span">
    <w:name w:val="apple-style-span"/>
    <w:basedOn w:val="DefaultParagraphFont"/>
    <w:uiPriority w:val="99"/>
    <w:rsid w:val="007C6A9C"/>
    <w:rPr>
      <w:rFonts w:cs="Times New Roman"/>
    </w:rPr>
  </w:style>
  <w:style w:type="table" w:styleId="TableGrid">
    <w:name w:val="Table Grid"/>
    <w:basedOn w:val="TableNormal"/>
    <w:uiPriority w:val="99"/>
    <w:rsid w:val="006C5213"/>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57105"/>
    <w:rPr>
      <w:rFonts w:cs="Times New Roman"/>
      <w:sz w:val="16"/>
      <w:szCs w:val="16"/>
    </w:rPr>
  </w:style>
  <w:style w:type="paragraph" w:styleId="CommentText">
    <w:name w:val="annotation text"/>
    <w:basedOn w:val="Normal"/>
    <w:link w:val="CommentTextChar"/>
    <w:uiPriority w:val="99"/>
    <w:semiHidden/>
    <w:rsid w:val="00B57105"/>
    <w:rPr>
      <w:sz w:val="20"/>
      <w:szCs w:val="20"/>
    </w:rPr>
  </w:style>
  <w:style w:type="character" w:customStyle="1" w:styleId="CommentTextChar">
    <w:name w:val="Comment Text Char"/>
    <w:basedOn w:val="DefaultParagraphFont"/>
    <w:link w:val="CommentText"/>
    <w:uiPriority w:val="99"/>
    <w:semiHidden/>
    <w:locked/>
    <w:rsid w:val="00003CF6"/>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rsid w:val="00B57105"/>
    <w:rPr>
      <w:b/>
      <w:bCs/>
    </w:rPr>
  </w:style>
  <w:style w:type="character" w:customStyle="1" w:styleId="CommentSubjectChar">
    <w:name w:val="Comment Subject Char"/>
    <w:basedOn w:val="CommentTextChar"/>
    <w:link w:val="CommentSubject"/>
    <w:uiPriority w:val="99"/>
    <w:semiHidden/>
    <w:locked/>
    <w:rsid w:val="00003CF6"/>
    <w:rPr>
      <w:rFonts w:ascii="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77564">
      <w:marLeft w:val="0"/>
      <w:marRight w:val="0"/>
      <w:marTop w:val="0"/>
      <w:marBottom w:val="0"/>
      <w:divBdr>
        <w:top w:val="none" w:sz="0" w:space="0" w:color="auto"/>
        <w:left w:val="none" w:sz="0" w:space="0" w:color="auto"/>
        <w:bottom w:val="none" w:sz="0" w:space="0" w:color="auto"/>
        <w:right w:val="none" w:sz="0" w:space="0" w:color="auto"/>
      </w:divBdr>
    </w:div>
    <w:div w:id="1740177565">
      <w:marLeft w:val="0"/>
      <w:marRight w:val="0"/>
      <w:marTop w:val="0"/>
      <w:marBottom w:val="0"/>
      <w:divBdr>
        <w:top w:val="none" w:sz="0" w:space="0" w:color="auto"/>
        <w:left w:val="none" w:sz="0" w:space="0" w:color="auto"/>
        <w:bottom w:val="none" w:sz="0" w:space="0" w:color="auto"/>
        <w:right w:val="none" w:sz="0" w:space="0" w:color="auto"/>
      </w:divBdr>
    </w:div>
    <w:div w:id="1740177566">
      <w:marLeft w:val="0"/>
      <w:marRight w:val="0"/>
      <w:marTop w:val="0"/>
      <w:marBottom w:val="0"/>
      <w:divBdr>
        <w:top w:val="none" w:sz="0" w:space="0" w:color="auto"/>
        <w:left w:val="none" w:sz="0" w:space="0" w:color="auto"/>
        <w:bottom w:val="none" w:sz="0" w:space="0" w:color="auto"/>
        <w:right w:val="none" w:sz="0" w:space="0" w:color="auto"/>
      </w:divBdr>
    </w:div>
    <w:div w:id="1740177567">
      <w:marLeft w:val="0"/>
      <w:marRight w:val="0"/>
      <w:marTop w:val="0"/>
      <w:marBottom w:val="0"/>
      <w:divBdr>
        <w:top w:val="none" w:sz="0" w:space="0" w:color="auto"/>
        <w:left w:val="none" w:sz="0" w:space="0" w:color="auto"/>
        <w:bottom w:val="none" w:sz="0" w:space="0" w:color="auto"/>
        <w:right w:val="none" w:sz="0" w:space="0" w:color="auto"/>
      </w:divBdr>
    </w:div>
    <w:div w:id="1740177568">
      <w:marLeft w:val="0"/>
      <w:marRight w:val="0"/>
      <w:marTop w:val="0"/>
      <w:marBottom w:val="0"/>
      <w:divBdr>
        <w:top w:val="none" w:sz="0" w:space="0" w:color="auto"/>
        <w:left w:val="none" w:sz="0" w:space="0" w:color="auto"/>
        <w:bottom w:val="none" w:sz="0" w:space="0" w:color="auto"/>
        <w:right w:val="none" w:sz="0" w:space="0" w:color="auto"/>
      </w:divBdr>
    </w:div>
    <w:div w:id="1740177569">
      <w:marLeft w:val="0"/>
      <w:marRight w:val="0"/>
      <w:marTop w:val="0"/>
      <w:marBottom w:val="0"/>
      <w:divBdr>
        <w:top w:val="none" w:sz="0" w:space="0" w:color="auto"/>
        <w:left w:val="none" w:sz="0" w:space="0" w:color="auto"/>
        <w:bottom w:val="none" w:sz="0" w:space="0" w:color="auto"/>
        <w:right w:val="none" w:sz="0" w:space="0" w:color="auto"/>
      </w:divBdr>
    </w:div>
    <w:div w:id="1740177570">
      <w:marLeft w:val="0"/>
      <w:marRight w:val="0"/>
      <w:marTop w:val="0"/>
      <w:marBottom w:val="0"/>
      <w:divBdr>
        <w:top w:val="none" w:sz="0" w:space="0" w:color="auto"/>
        <w:left w:val="none" w:sz="0" w:space="0" w:color="auto"/>
        <w:bottom w:val="none" w:sz="0" w:space="0" w:color="auto"/>
        <w:right w:val="none" w:sz="0" w:space="0" w:color="auto"/>
      </w:divBdr>
    </w:div>
    <w:div w:id="1740177571">
      <w:marLeft w:val="0"/>
      <w:marRight w:val="0"/>
      <w:marTop w:val="0"/>
      <w:marBottom w:val="0"/>
      <w:divBdr>
        <w:top w:val="none" w:sz="0" w:space="0" w:color="auto"/>
        <w:left w:val="none" w:sz="0" w:space="0" w:color="auto"/>
        <w:bottom w:val="none" w:sz="0" w:space="0" w:color="auto"/>
        <w:right w:val="none" w:sz="0" w:space="0" w:color="auto"/>
      </w:divBdr>
    </w:div>
    <w:div w:id="1740177572">
      <w:marLeft w:val="0"/>
      <w:marRight w:val="0"/>
      <w:marTop w:val="0"/>
      <w:marBottom w:val="0"/>
      <w:divBdr>
        <w:top w:val="none" w:sz="0" w:space="0" w:color="auto"/>
        <w:left w:val="none" w:sz="0" w:space="0" w:color="auto"/>
        <w:bottom w:val="none" w:sz="0" w:space="0" w:color="auto"/>
        <w:right w:val="none" w:sz="0" w:space="0" w:color="auto"/>
      </w:divBdr>
    </w:div>
    <w:div w:id="1740177573">
      <w:marLeft w:val="0"/>
      <w:marRight w:val="0"/>
      <w:marTop w:val="0"/>
      <w:marBottom w:val="0"/>
      <w:divBdr>
        <w:top w:val="none" w:sz="0" w:space="0" w:color="auto"/>
        <w:left w:val="none" w:sz="0" w:space="0" w:color="auto"/>
        <w:bottom w:val="none" w:sz="0" w:space="0" w:color="auto"/>
        <w:right w:val="none" w:sz="0" w:space="0" w:color="auto"/>
      </w:divBdr>
    </w:div>
    <w:div w:id="1740177574">
      <w:marLeft w:val="0"/>
      <w:marRight w:val="0"/>
      <w:marTop w:val="0"/>
      <w:marBottom w:val="0"/>
      <w:divBdr>
        <w:top w:val="none" w:sz="0" w:space="0" w:color="auto"/>
        <w:left w:val="none" w:sz="0" w:space="0" w:color="auto"/>
        <w:bottom w:val="none" w:sz="0" w:space="0" w:color="auto"/>
        <w:right w:val="none" w:sz="0" w:space="0" w:color="auto"/>
      </w:divBdr>
    </w:div>
    <w:div w:id="1740177575">
      <w:marLeft w:val="0"/>
      <w:marRight w:val="0"/>
      <w:marTop w:val="0"/>
      <w:marBottom w:val="0"/>
      <w:divBdr>
        <w:top w:val="none" w:sz="0" w:space="0" w:color="auto"/>
        <w:left w:val="none" w:sz="0" w:space="0" w:color="auto"/>
        <w:bottom w:val="none" w:sz="0" w:space="0" w:color="auto"/>
        <w:right w:val="none" w:sz="0" w:space="0" w:color="auto"/>
      </w:divBdr>
    </w:div>
    <w:div w:id="1740177576">
      <w:marLeft w:val="0"/>
      <w:marRight w:val="0"/>
      <w:marTop w:val="0"/>
      <w:marBottom w:val="0"/>
      <w:divBdr>
        <w:top w:val="none" w:sz="0" w:space="0" w:color="auto"/>
        <w:left w:val="none" w:sz="0" w:space="0" w:color="auto"/>
        <w:bottom w:val="none" w:sz="0" w:space="0" w:color="auto"/>
        <w:right w:val="none" w:sz="0" w:space="0" w:color="auto"/>
      </w:divBdr>
    </w:div>
    <w:div w:id="1740177577">
      <w:marLeft w:val="0"/>
      <w:marRight w:val="0"/>
      <w:marTop w:val="0"/>
      <w:marBottom w:val="0"/>
      <w:divBdr>
        <w:top w:val="none" w:sz="0" w:space="0" w:color="auto"/>
        <w:left w:val="none" w:sz="0" w:space="0" w:color="auto"/>
        <w:bottom w:val="none" w:sz="0" w:space="0" w:color="auto"/>
        <w:right w:val="none" w:sz="0" w:space="0" w:color="auto"/>
      </w:divBdr>
    </w:div>
    <w:div w:id="1740177578">
      <w:marLeft w:val="0"/>
      <w:marRight w:val="0"/>
      <w:marTop w:val="0"/>
      <w:marBottom w:val="0"/>
      <w:divBdr>
        <w:top w:val="none" w:sz="0" w:space="0" w:color="auto"/>
        <w:left w:val="none" w:sz="0" w:space="0" w:color="auto"/>
        <w:bottom w:val="none" w:sz="0" w:space="0" w:color="auto"/>
        <w:right w:val="none" w:sz="0" w:space="0" w:color="auto"/>
      </w:divBdr>
    </w:div>
    <w:div w:id="1740177579">
      <w:marLeft w:val="0"/>
      <w:marRight w:val="0"/>
      <w:marTop w:val="0"/>
      <w:marBottom w:val="0"/>
      <w:divBdr>
        <w:top w:val="none" w:sz="0" w:space="0" w:color="auto"/>
        <w:left w:val="none" w:sz="0" w:space="0" w:color="auto"/>
        <w:bottom w:val="none" w:sz="0" w:space="0" w:color="auto"/>
        <w:right w:val="none" w:sz="0" w:space="0" w:color="auto"/>
      </w:divBdr>
    </w:div>
    <w:div w:id="1740177580">
      <w:marLeft w:val="0"/>
      <w:marRight w:val="0"/>
      <w:marTop w:val="0"/>
      <w:marBottom w:val="0"/>
      <w:divBdr>
        <w:top w:val="none" w:sz="0" w:space="0" w:color="auto"/>
        <w:left w:val="none" w:sz="0" w:space="0" w:color="auto"/>
        <w:bottom w:val="none" w:sz="0" w:space="0" w:color="auto"/>
        <w:right w:val="none" w:sz="0" w:space="0" w:color="auto"/>
      </w:divBdr>
    </w:div>
    <w:div w:id="1740177581">
      <w:marLeft w:val="0"/>
      <w:marRight w:val="0"/>
      <w:marTop w:val="0"/>
      <w:marBottom w:val="0"/>
      <w:divBdr>
        <w:top w:val="none" w:sz="0" w:space="0" w:color="auto"/>
        <w:left w:val="none" w:sz="0" w:space="0" w:color="auto"/>
        <w:bottom w:val="none" w:sz="0" w:space="0" w:color="auto"/>
        <w:right w:val="none" w:sz="0" w:space="0" w:color="auto"/>
      </w:divBdr>
    </w:div>
    <w:div w:id="1740177582">
      <w:marLeft w:val="0"/>
      <w:marRight w:val="0"/>
      <w:marTop w:val="0"/>
      <w:marBottom w:val="0"/>
      <w:divBdr>
        <w:top w:val="none" w:sz="0" w:space="0" w:color="auto"/>
        <w:left w:val="none" w:sz="0" w:space="0" w:color="auto"/>
        <w:bottom w:val="none" w:sz="0" w:space="0" w:color="auto"/>
        <w:right w:val="none" w:sz="0" w:space="0" w:color="auto"/>
      </w:divBdr>
    </w:div>
    <w:div w:id="1740177583">
      <w:marLeft w:val="0"/>
      <w:marRight w:val="0"/>
      <w:marTop w:val="0"/>
      <w:marBottom w:val="0"/>
      <w:divBdr>
        <w:top w:val="none" w:sz="0" w:space="0" w:color="auto"/>
        <w:left w:val="none" w:sz="0" w:space="0" w:color="auto"/>
        <w:bottom w:val="none" w:sz="0" w:space="0" w:color="auto"/>
        <w:right w:val="none" w:sz="0" w:space="0" w:color="auto"/>
      </w:divBdr>
    </w:div>
    <w:div w:id="1740177584">
      <w:marLeft w:val="0"/>
      <w:marRight w:val="0"/>
      <w:marTop w:val="0"/>
      <w:marBottom w:val="0"/>
      <w:divBdr>
        <w:top w:val="none" w:sz="0" w:space="0" w:color="auto"/>
        <w:left w:val="none" w:sz="0" w:space="0" w:color="auto"/>
        <w:bottom w:val="none" w:sz="0" w:space="0" w:color="auto"/>
        <w:right w:val="none" w:sz="0" w:space="0" w:color="auto"/>
      </w:divBdr>
    </w:div>
    <w:div w:id="1740177585">
      <w:marLeft w:val="0"/>
      <w:marRight w:val="0"/>
      <w:marTop w:val="0"/>
      <w:marBottom w:val="0"/>
      <w:divBdr>
        <w:top w:val="none" w:sz="0" w:space="0" w:color="auto"/>
        <w:left w:val="none" w:sz="0" w:space="0" w:color="auto"/>
        <w:bottom w:val="none" w:sz="0" w:space="0" w:color="auto"/>
        <w:right w:val="none" w:sz="0" w:space="0" w:color="auto"/>
      </w:divBdr>
    </w:div>
    <w:div w:id="1740177586">
      <w:marLeft w:val="0"/>
      <w:marRight w:val="0"/>
      <w:marTop w:val="0"/>
      <w:marBottom w:val="0"/>
      <w:divBdr>
        <w:top w:val="none" w:sz="0" w:space="0" w:color="auto"/>
        <w:left w:val="none" w:sz="0" w:space="0" w:color="auto"/>
        <w:bottom w:val="none" w:sz="0" w:space="0" w:color="auto"/>
        <w:right w:val="none" w:sz="0" w:space="0" w:color="auto"/>
      </w:divBdr>
    </w:div>
    <w:div w:id="1740177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2fcc.ca/files/H2%20Permitting%20Guide%20-%20Rev.%204.1%20%5BEN%5D%20%2804.15.2008%29.pdf" TargetMode="External"/><Relationship Id="rId1" Type="http://schemas.openxmlformats.org/officeDocument/2006/relationships/hyperlink" Target="http://www.hyapproval.org/main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1\Documents\Dropbox\HyER\FCH%20JU%20-%20CHIC\WP4%20Dissemination\Deliverables\Deliverable%204.3%20HRS_Bus_Authorisation\CHIC_D%204.3_Report%20on%20certification%20of%20the%20buses%20&amp;%20H2%20refuelling%20infrastructureDRAFT_HyER_Comments%20H.War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A9F5B-50C7-4C5B-B40B-6986CD6C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CHIC_D 4.3_Report on certification of the buses &amp; H2 refuelling infrastructureDRAFT_HyER_Comments H.Warth</Template>
  <TotalTime>0</TotalTime>
  <Pages>23</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27876</CharactersWithSpaces>
  <SharedDoc>false</SharedDoc>
  <HLinks>
    <vt:vector size="108" baseType="variant">
      <vt:variant>
        <vt:i4>1638457</vt:i4>
      </vt:variant>
      <vt:variant>
        <vt:i4>92</vt:i4>
      </vt:variant>
      <vt:variant>
        <vt:i4>0</vt:i4>
      </vt:variant>
      <vt:variant>
        <vt:i4>5</vt:i4>
      </vt:variant>
      <vt:variant>
        <vt:lpwstr/>
      </vt:variant>
      <vt:variant>
        <vt:lpwstr>_Toc338259760</vt:lpwstr>
      </vt:variant>
      <vt:variant>
        <vt:i4>1703993</vt:i4>
      </vt:variant>
      <vt:variant>
        <vt:i4>86</vt:i4>
      </vt:variant>
      <vt:variant>
        <vt:i4>0</vt:i4>
      </vt:variant>
      <vt:variant>
        <vt:i4>5</vt:i4>
      </vt:variant>
      <vt:variant>
        <vt:lpwstr/>
      </vt:variant>
      <vt:variant>
        <vt:lpwstr>_Toc338259759</vt:lpwstr>
      </vt:variant>
      <vt:variant>
        <vt:i4>1703993</vt:i4>
      </vt:variant>
      <vt:variant>
        <vt:i4>80</vt:i4>
      </vt:variant>
      <vt:variant>
        <vt:i4>0</vt:i4>
      </vt:variant>
      <vt:variant>
        <vt:i4>5</vt:i4>
      </vt:variant>
      <vt:variant>
        <vt:lpwstr/>
      </vt:variant>
      <vt:variant>
        <vt:lpwstr>_Toc338259758</vt:lpwstr>
      </vt:variant>
      <vt:variant>
        <vt:i4>1703993</vt:i4>
      </vt:variant>
      <vt:variant>
        <vt:i4>74</vt:i4>
      </vt:variant>
      <vt:variant>
        <vt:i4>0</vt:i4>
      </vt:variant>
      <vt:variant>
        <vt:i4>5</vt:i4>
      </vt:variant>
      <vt:variant>
        <vt:lpwstr/>
      </vt:variant>
      <vt:variant>
        <vt:lpwstr>_Toc338259757</vt:lpwstr>
      </vt:variant>
      <vt:variant>
        <vt:i4>1703993</vt:i4>
      </vt:variant>
      <vt:variant>
        <vt:i4>68</vt:i4>
      </vt:variant>
      <vt:variant>
        <vt:i4>0</vt:i4>
      </vt:variant>
      <vt:variant>
        <vt:i4>5</vt:i4>
      </vt:variant>
      <vt:variant>
        <vt:lpwstr/>
      </vt:variant>
      <vt:variant>
        <vt:lpwstr>_Toc338259756</vt:lpwstr>
      </vt:variant>
      <vt:variant>
        <vt:i4>1703993</vt:i4>
      </vt:variant>
      <vt:variant>
        <vt:i4>62</vt:i4>
      </vt:variant>
      <vt:variant>
        <vt:i4>0</vt:i4>
      </vt:variant>
      <vt:variant>
        <vt:i4>5</vt:i4>
      </vt:variant>
      <vt:variant>
        <vt:lpwstr/>
      </vt:variant>
      <vt:variant>
        <vt:lpwstr>_Toc338259755</vt:lpwstr>
      </vt:variant>
      <vt:variant>
        <vt:i4>1703993</vt:i4>
      </vt:variant>
      <vt:variant>
        <vt:i4>56</vt:i4>
      </vt:variant>
      <vt:variant>
        <vt:i4>0</vt:i4>
      </vt:variant>
      <vt:variant>
        <vt:i4>5</vt:i4>
      </vt:variant>
      <vt:variant>
        <vt:lpwstr/>
      </vt:variant>
      <vt:variant>
        <vt:lpwstr>_Toc338259754</vt:lpwstr>
      </vt:variant>
      <vt:variant>
        <vt:i4>1703993</vt:i4>
      </vt:variant>
      <vt:variant>
        <vt:i4>50</vt:i4>
      </vt:variant>
      <vt:variant>
        <vt:i4>0</vt:i4>
      </vt:variant>
      <vt:variant>
        <vt:i4>5</vt:i4>
      </vt:variant>
      <vt:variant>
        <vt:lpwstr/>
      </vt:variant>
      <vt:variant>
        <vt:lpwstr>_Toc338259753</vt:lpwstr>
      </vt:variant>
      <vt:variant>
        <vt:i4>1703993</vt:i4>
      </vt:variant>
      <vt:variant>
        <vt:i4>44</vt:i4>
      </vt:variant>
      <vt:variant>
        <vt:i4>0</vt:i4>
      </vt:variant>
      <vt:variant>
        <vt:i4>5</vt:i4>
      </vt:variant>
      <vt:variant>
        <vt:lpwstr/>
      </vt:variant>
      <vt:variant>
        <vt:lpwstr>_Toc338259752</vt:lpwstr>
      </vt:variant>
      <vt:variant>
        <vt:i4>1703993</vt:i4>
      </vt:variant>
      <vt:variant>
        <vt:i4>38</vt:i4>
      </vt:variant>
      <vt:variant>
        <vt:i4>0</vt:i4>
      </vt:variant>
      <vt:variant>
        <vt:i4>5</vt:i4>
      </vt:variant>
      <vt:variant>
        <vt:lpwstr/>
      </vt:variant>
      <vt:variant>
        <vt:lpwstr>_Toc338259751</vt:lpwstr>
      </vt:variant>
      <vt:variant>
        <vt:i4>1703993</vt:i4>
      </vt:variant>
      <vt:variant>
        <vt:i4>32</vt:i4>
      </vt:variant>
      <vt:variant>
        <vt:i4>0</vt:i4>
      </vt:variant>
      <vt:variant>
        <vt:i4>5</vt:i4>
      </vt:variant>
      <vt:variant>
        <vt:lpwstr/>
      </vt:variant>
      <vt:variant>
        <vt:lpwstr>_Toc338259750</vt:lpwstr>
      </vt:variant>
      <vt:variant>
        <vt:i4>1769529</vt:i4>
      </vt:variant>
      <vt:variant>
        <vt:i4>26</vt:i4>
      </vt:variant>
      <vt:variant>
        <vt:i4>0</vt:i4>
      </vt:variant>
      <vt:variant>
        <vt:i4>5</vt:i4>
      </vt:variant>
      <vt:variant>
        <vt:lpwstr/>
      </vt:variant>
      <vt:variant>
        <vt:lpwstr>_Toc338259749</vt:lpwstr>
      </vt:variant>
      <vt:variant>
        <vt:i4>1769529</vt:i4>
      </vt:variant>
      <vt:variant>
        <vt:i4>20</vt:i4>
      </vt:variant>
      <vt:variant>
        <vt:i4>0</vt:i4>
      </vt:variant>
      <vt:variant>
        <vt:i4>5</vt:i4>
      </vt:variant>
      <vt:variant>
        <vt:lpwstr/>
      </vt:variant>
      <vt:variant>
        <vt:lpwstr>_Toc338259748</vt:lpwstr>
      </vt:variant>
      <vt:variant>
        <vt:i4>1769529</vt:i4>
      </vt:variant>
      <vt:variant>
        <vt:i4>14</vt:i4>
      </vt:variant>
      <vt:variant>
        <vt:i4>0</vt:i4>
      </vt:variant>
      <vt:variant>
        <vt:i4>5</vt:i4>
      </vt:variant>
      <vt:variant>
        <vt:lpwstr/>
      </vt:variant>
      <vt:variant>
        <vt:lpwstr>_Toc338259747</vt:lpwstr>
      </vt:variant>
      <vt:variant>
        <vt:i4>1769529</vt:i4>
      </vt:variant>
      <vt:variant>
        <vt:i4>8</vt:i4>
      </vt:variant>
      <vt:variant>
        <vt:i4>0</vt:i4>
      </vt:variant>
      <vt:variant>
        <vt:i4>5</vt:i4>
      </vt:variant>
      <vt:variant>
        <vt:lpwstr/>
      </vt:variant>
      <vt:variant>
        <vt:lpwstr>_Toc338259746</vt:lpwstr>
      </vt:variant>
      <vt:variant>
        <vt:i4>1769529</vt:i4>
      </vt:variant>
      <vt:variant>
        <vt:i4>2</vt:i4>
      </vt:variant>
      <vt:variant>
        <vt:i4>0</vt:i4>
      </vt:variant>
      <vt:variant>
        <vt:i4>5</vt:i4>
      </vt:variant>
      <vt:variant>
        <vt:lpwstr/>
      </vt:variant>
      <vt:variant>
        <vt:lpwstr>_Toc338259745</vt:lpwstr>
      </vt:variant>
      <vt:variant>
        <vt:i4>3670070</vt:i4>
      </vt:variant>
      <vt:variant>
        <vt:i4>3</vt:i4>
      </vt:variant>
      <vt:variant>
        <vt:i4>0</vt:i4>
      </vt:variant>
      <vt:variant>
        <vt:i4>5</vt:i4>
      </vt:variant>
      <vt:variant>
        <vt:lpwstr>http://www.h2fcc.ca/files/H2 Permitting Guide - Rev. 4.1 %5BEN%5D %2804.15.2008%29.pdf</vt:lpwstr>
      </vt:variant>
      <vt:variant>
        <vt:lpwstr/>
      </vt:variant>
      <vt:variant>
        <vt:i4>1441801</vt:i4>
      </vt:variant>
      <vt:variant>
        <vt:i4>0</vt:i4>
      </vt:variant>
      <vt:variant>
        <vt:i4>0</vt:i4>
      </vt:variant>
      <vt:variant>
        <vt:i4>5</vt:i4>
      </vt:variant>
      <vt:variant>
        <vt:lpwstr>http://www.hyapproval.org/main1.html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BOILLOT Lionel ( FCH )</cp:lastModifiedBy>
  <cp:revision>2</cp:revision>
  <cp:lastPrinted>2012-10-19T10:12:00Z</cp:lastPrinted>
  <dcterms:created xsi:type="dcterms:W3CDTF">2015-06-25T10:22:00Z</dcterms:created>
  <dcterms:modified xsi:type="dcterms:W3CDTF">2015-06-25T10:22:00Z</dcterms:modified>
</cp:coreProperties>
</file>