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19660" w14:textId="52FE2DD4" w:rsidR="006B015E" w:rsidRPr="00CB7169" w:rsidRDefault="00DA2C07" w:rsidP="00356242">
      <w:pPr>
        <w:pStyle w:val="Heading1"/>
        <w:spacing w:line="276" w:lineRule="auto"/>
        <w:ind w:left="142" w:right="422" w:firstLine="566"/>
        <w:jc w:val="center"/>
        <w:rPr>
          <w:sz w:val="22"/>
          <w:szCs w:val="22"/>
        </w:rPr>
      </w:pPr>
      <w:r w:rsidRPr="00CB7169">
        <w:rPr>
          <w:sz w:val="22"/>
          <w:szCs w:val="22"/>
        </w:rPr>
        <w:t>Members of Fuel Cells and Hydrogen 2 Joint Undertaking</w:t>
      </w:r>
    </w:p>
    <w:p w14:paraId="0D12E2E1" w14:textId="7F36ABFE" w:rsidR="006B015E" w:rsidRPr="00CB7169" w:rsidRDefault="005E3A1A" w:rsidP="00B86391">
      <w:pPr>
        <w:pStyle w:val="Heading1"/>
        <w:spacing w:line="276" w:lineRule="auto"/>
        <w:ind w:left="142" w:right="4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Declare Final </w:t>
      </w:r>
      <w:r w:rsidR="00B86391" w:rsidRPr="00CB7169">
        <w:rPr>
          <w:sz w:val="22"/>
          <w:szCs w:val="22"/>
        </w:rPr>
        <w:t xml:space="preserve">Additional Activities </w:t>
      </w:r>
      <w:r>
        <w:rPr>
          <w:sz w:val="22"/>
          <w:szCs w:val="22"/>
        </w:rPr>
        <w:t xml:space="preserve">for the </w:t>
      </w:r>
    </w:p>
    <w:p w14:paraId="28968AE9" w14:textId="44DB7F45" w:rsidR="00DA2C07" w:rsidRPr="00CB7169" w:rsidRDefault="005E3A1A" w:rsidP="00B86391">
      <w:pPr>
        <w:pStyle w:val="Heading1"/>
        <w:spacing w:line="276" w:lineRule="auto"/>
        <w:ind w:left="142" w:right="42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Reporting </w:t>
      </w:r>
      <w:r w:rsidR="00DA2C07" w:rsidRPr="00CB7169">
        <w:rPr>
          <w:sz w:val="22"/>
          <w:szCs w:val="22"/>
        </w:rPr>
        <w:t xml:space="preserve">Period </w:t>
      </w:r>
      <w:r>
        <w:rPr>
          <w:sz w:val="22"/>
          <w:szCs w:val="22"/>
        </w:rPr>
        <w:t>January – December 201</w:t>
      </w:r>
      <w:r w:rsidR="00FB1245">
        <w:rPr>
          <w:sz w:val="22"/>
          <w:szCs w:val="22"/>
        </w:rPr>
        <w:t>8</w:t>
      </w:r>
    </w:p>
    <w:p w14:paraId="325BD6D3" w14:textId="77777777" w:rsidR="00DA2C07" w:rsidRDefault="00DA2C07" w:rsidP="00B86391">
      <w:pPr>
        <w:pStyle w:val="BodyText"/>
        <w:ind w:left="-142"/>
        <w:jc w:val="both"/>
        <w:rPr>
          <w:b/>
          <w:sz w:val="22"/>
          <w:szCs w:val="22"/>
        </w:rPr>
      </w:pPr>
    </w:p>
    <w:p w14:paraId="084D2FC0" w14:textId="77777777" w:rsidR="008D7BEB" w:rsidRDefault="008D7BEB" w:rsidP="00B86391">
      <w:pPr>
        <w:pStyle w:val="BodyText"/>
        <w:ind w:left="-142"/>
        <w:jc w:val="both"/>
        <w:rPr>
          <w:b/>
          <w:sz w:val="22"/>
          <w:szCs w:val="22"/>
        </w:rPr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372"/>
      </w:tblGrid>
      <w:tr w:rsidR="008D7BEB" w14:paraId="34F021A5" w14:textId="77777777" w:rsidTr="0055145E">
        <w:tc>
          <w:tcPr>
            <w:tcW w:w="7372" w:type="dxa"/>
            <w:shd w:val="clear" w:color="auto" w:fill="D9D9D9" w:themeFill="background1" w:themeFillShade="D9"/>
          </w:tcPr>
          <w:p w14:paraId="142D9D16" w14:textId="77777777" w:rsidR="008D7BEB" w:rsidRPr="008D7BEB" w:rsidRDefault="008D7BEB" w:rsidP="00B86391">
            <w:pPr>
              <w:pStyle w:val="BodyText"/>
              <w:jc w:val="both"/>
              <w:rPr>
                <w:b/>
              </w:rPr>
            </w:pPr>
            <w:r w:rsidRPr="008D7BEB">
              <w:rPr>
                <w:b/>
              </w:rPr>
              <w:t>Introduction</w:t>
            </w:r>
          </w:p>
        </w:tc>
      </w:tr>
    </w:tbl>
    <w:p w14:paraId="7D9DA4B7" w14:textId="77777777" w:rsidR="00754939" w:rsidRDefault="00754939" w:rsidP="00B86391">
      <w:pPr>
        <w:pStyle w:val="BodyText"/>
        <w:ind w:left="-142" w:right="24"/>
        <w:jc w:val="both"/>
        <w:rPr>
          <w:sz w:val="22"/>
          <w:szCs w:val="22"/>
        </w:rPr>
      </w:pPr>
    </w:p>
    <w:p w14:paraId="027EC65C" w14:textId="6F71297B" w:rsidR="00DA2C07" w:rsidRPr="00CB7169" w:rsidRDefault="00DA2C07" w:rsidP="00B86391">
      <w:pPr>
        <w:pStyle w:val="BodyText"/>
        <w:ind w:left="-142" w:right="24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Within the European innovation framework Horizon 2020, the Fuel Cells and Hydrogen 2 Joint Undertaking (FCH</w:t>
      </w:r>
      <w:r w:rsidR="00B86391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2 JU) is the second generation of the European public-private partnership comprising the Industry Grouping (Hydrogen Europe), the Research Grouping (</w:t>
      </w:r>
      <w:r w:rsidR="002C0D37">
        <w:rPr>
          <w:sz w:val="22"/>
          <w:szCs w:val="22"/>
        </w:rPr>
        <w:t>Hydrogen Europe Research</w:t>
      </w:r>
      <w:r w:rsidRPr="00CB7169">
        <w:rPr>
          <w:sz w:val="22"/>
          <w:szCs w:val="22"/>
        </w:rPr>
        <w:t xml:space="preserve">) and the European Union represented by the European Commission. The partnership </w:t>
      </w:r>
      <w:r w:rsidR="0022661C">
        <w:rPr>
          <w:sz w:val="22"/>
          <w:szCs w:val="22"/>
        </w:rPr>
        <w:t>aims to</w:t>
      </w:r>
      <w:r w:rsidR="0022661C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mobilize up</w:t>
      </w:r>
      <w:r w:rsidRPr="00CB7169">
        <w:rPr>
          <w:spacing w:val="1"/>
          <w:sz w:val="22"/>
          <w:szCs w:val="22"/>
        </w:rPr>
        <w:t xml:space="preserve"> </w:t>
      </w:r>
      <w:r w:rsidRPr="00CB7169">
        <w:rPr>
          <w:sz w:val="22"/>
          <w:szCs w:val="22"/>
        </w:rPr>
        <w:t xml:space="preserve">to €1.33 billion over </w:t>
      </w:r>
      <w:r w:rsidR="003221B7">
        <w:rPr>
          <w:sz w:val="22"/>
          <w:szCs w:val="22"/>
        </w:rPr>
        <w:t xml:space="preserve">the period 2014-2024 </w:t>
      </w:r>
      <w:r w:rsidRPr="00CB7169">
        <w:rPr>
          <w:sz w:val="22"/>
          <w:szCs w:val="22"/>
        </w:rPr>
        <w:t>to bring to market a portfolio of Fuel Cells and Hydrogen solutions in the fields of energy and transport.</w:t>
      </w:r>
    </w:p>
    <w:p w14:paraId="548C6A26" w14:textId="77777777" w:rsidR="00DA2C07" w:rsidRPr="00CB7169" w:rsidRDefault="00DA2C07" w:rsidP="00B86391">
      <w:pPr>
        <w:pStyle w:val="BodyText"/>
        <w:ind w:left="-142"/>
        <w:jc w:val="both"/>
        <w:rPr>
          <w:sz w:val="22"/>
          <w:szCs w:val="22"/>
        </w:rPr>
      </w:pPr>
    </w:p>
    <w:p w14:paraId="29D10C86" w14:textId="7881D6DB" w:rsidR="00DA2C07" w:rsidRPr="00CB7169" w:rsidRDefault="00DA2C07" w:rsidP="00B86391">
      <w:pPr>
        <w:pStyle w:val="BodyText"/>
        <w:ind w:left="-142" w:right="24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In line with the FCH</w:t>
      </w:r>
      <w:r w:rsidR="00B86391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2 JU Regulation</w:t>
      </w:r>
      <w:r w:rsidRPr="00CB7169">
        <w:rPr>
          <w:rStyle w:val="FootnoteReference"/>
          <w:sz w:val="22"/>
          <w:szCs w:val="22"/>
        </w:rPr>
        <w:footnoteReference w:id="1"/>
      </w:r>
      <w:r w:rsidR="00812BB6" w:rsidRPr="00CB7169">
        <w:rPr>
          <w:sz w:val="22"/>
          <w:szCs w:val="22"/>
        </w:rPr>
        <w:t xml:space="preserve"> laying down </w:t>
      </w:r>
      <w:r w:rsidRPr="00CB7169">
        <w:rPr>
          <w:sz w:val="22"/>
          <w:szCs w:val="22"/>
        </w:rPr>
        <w:t>the foundati</w:t>
      </w:r>
      <w:r w:rsidR="00812BB6" w:rsidRPr="00CB7169">
        <w:rPr>
          <w:sz w:val="22"/>
          <w:szCs w:val="22"/>
        </w:rPr>
        <w:t>on for the partnership, all FCH</w:t>
      </w:r>
      <w:r w:rsidR="00B86391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2 JU beneficiaries need to report additional R&amp;D and deployment investments (“In-Kind Additional Activities”</w:t>
      </w:r>
      <w:r w:rsidR="00D401A7">
        <w:rPr>
          <w:sz w:val="22"/>
          <w:szCs w:val="22"/>
        </w:rPr>
        <w:t xml:space="preserve"> or “IKAA”</w:t>
      </w:r>
      <w:r w:rsidRPr="00CB7169">
        <w:rPr>
          <w:sz w:val="22"/>
          <w:szCs w:val="22"/>
        </w:rPr>
        <w:t>) made outside the FCH</w:t>
      </w:r>
      <w:r w:rsidR="00B86391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2 JU in order to demonstrate the leverage effect of the programme and the growth of the sector.</w:t>
      </w:r>
    </w:p>
    <w:p w14:paraId="53DA3D8E" w14:textId="77777777" w:rsidR="00DA2C07" w:rsidRPr="00CB7169" w:rsidRDefault="00DA2C07" w:rsidP="00B86391">
      <w:pPr>
        <w:pStyle w:val="BodyText"/>
        <w:ind w:left="-142"/>
        <w:jc w:val="both"/>
        <w:rPr>
          <w:sz w:val="22"/>
          <w:szCs w:val="22"/>
        </w:rPr>
      </w:pPr>
    </w:p>
    <w:p w14:paraId="7678585C" w14:textId="33AE6571" w:rsidR="00B86391" w:rsidRPr="00CB7169" w:rsidRDefault="00DA2C07" w:rsidP="00B86391">
      <w:pPr>
        <w:pStyle w:val="BodyText"/>
        <w:ind w:left="-142" w:right="24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The Additional Activities (IKAA) are defined as actions in Europe contributing to the FCH 2 JU's objectives but undertaken outside its work plan</w:t>
      </w:r>
      <w:r w:rsidR="0076286B">
        <w:rPr>
          <w:sz w:val="22"/>
          <w:szCs w:val="22"/>
        </w:rPr>
        <w:t xml:space="preserve"> </w:t>
      </w:r>
      <w:r w:rsidR="003221B7">
        <w:rPr>
          <w:sz w:val="22"/>
          <w:szCs w:val="22"/>
        </w:rPr>
        <w:t xml:space="preserve">by Hydrogen Europe and </w:t>
      </w:r>
      <w:r w:rsidR="002C0D37">
        <w:rPr>
          <w:sz w:val="22"/>
          <w:szCs w:val="22"/>
        </w:rPr>
        <w:t xml:space="preserve">Hydrogen Europe Research </w:t>
      </w:r>
      <w:r w:rsidR="003221B7">
        <w:rPr>
          <w:sz w:val="22"/>
          <w:szCs w:val="22"/>
        </w:rPr>
        <w:t>members.  The latter and</w:t>
      </w:r>
      <w:r w:rsidRPr="00CB7169">
        <w:rPr>
          <w:sz w:val="22"/>
          <w:szCs w:val="22"/>
        </w:rPr>
        <w:t xml:space="preserve"> their affiliate entities are required to joint</w:t>
      </w:r>
      <w:r w:rsidR="002622F2">
        <w:rPr>
          <w:sz w:val="22"/>
          <w:szCs w:val="22"/>
        </w:rPr>
        <w:t xml:space="preserve">ly deliver IKAA of at least </w:t>
      </w:r>
      <w:r w:rsidR="002622F2" w:rsidRPr="00211E87">
        <w:rPr>
          <w:b/>
          <w:sz w:val="22"/>
          <w:szCs w:val="22"/>
        </w:rPr>
        <w:t>€</w:t>
      </w:r>
      <w:r w:rsidR="00857518" w:rsidRPr="00211E87">
        <w:rPr>
          <w:b/>
          <w:sz w:val="22"/>
          <w:szCs w:val="22"/>
        </w:rPr>
        <w:t>285</w:t>
      </w:r>
      <w:r w:rsidR="00857518" w:rsidRPr="00211E87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>million across the life span of the FCH 2 JU</w:t>
      </w:r>
      <w:r w:rsidR="00812BB6" w:rsidRPr="00CB7169">
        <w:rPr>
          <w:sz w:val="22"/>
          <w:szCs w:val="22"/>
        </w:rPr>
        <w:t xml:space="preserve"> of 2014-2024</w:t>
      </w:r>
      <w:r w:rsidRPr="00CB7169">
        <w:rPr>
          <w:sz w:val="22"/>
          <w:szCs w:val="22"/>
        </w:rPr>
        <w:t>.</w:t>
      </w:r>
    </w:p>
    <w:p w14:paraId="01E2B138" w14:textId="77777777" w:rsidR="00B86391" w:rsidRPr="00CB7169" w:rsidRDefault="00B86391" w:rsidP="00B86391">
      <w:pPr>
        <w:pStyle w:val="BodyText"/>
        <w:ind w:left="-142" w:right="24"/>
        <w:jc w:val="both"/>
        <w:rPr>
          <w:sz w:val="22"/>
          <w:szCs w:val="22"/>
        </w:rPr>
      </w:pPr>
    </w:p>
    <w:p w14:paraId="70B5651E" w14:textId="77777777" w:rsidR="00DA2C07" w:rsidRPr="00CB7169" w:rsidRDefault="00DA2C07" w:rsidP="00B86391">
      <w:pPr>
        <w:pStyle w:val="BodyText"/>
        <w:ind w:left="-142" w:right="24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The underlying purpose of the IKAA exercise is hence to demonstrate private investments in the sector and ensure a balanced contribution made by the private and public entities in the context of the</w:t>
      </w:r>
      <w:r w:rsidRPr="00CB7169">
        <w:rPr>
          <w:spacing w:val="-7"/>
          <w:sz w:val="22"/>
          <w:szCs w:val="22"/>
        </w:rPr>
        <w:t xml:space="preserve"> </w:t>
      </w:r>
      <w:r w:rsidRPr="00CB7169">
        <w:rPr>
          <w:sz w:val="22"/>
          <w:szCs w:val="22"/>
        </w:rPr>
        <w:t>partnership.</w:t>
      </w:r>
    </w:p>
    <w:p w14:paraId="79F51D71" w14:textId="77777777" w:rsidR="00B86391" w:rsidRPr="00CB7169" w:rsidRDefault="00B86391" w:rsidP="00B86391">
      <w:pPr>
        <w:pStyle w:val="BodyText"/>
        <w:ind w:left="152" w:right="201"/>
        <w:jc w:val="both"/>
        <w:rPr>
          <w:sz w:val="22"/>
          <w:szCs w:val="22"/>
        </w:rPr>
      </w:pPr>
    </w:p>
    <w:p w14:paraId="4238DCC1" w14:textId="7693B2EF" w:rsidR="00DA2C07" w:rsidRPr="00CB7169" w:rsidRDefault="00DA2C07" w:rsidP="00B86391">
      <w:pPr>
        <w:pStyle w:val="BodyText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The IKAA will be complemented by In-Kind Contributions through participation in Projects (IKOP) as part of the calls for p</w:t>
      </w:r>
      <w:r w:rsidR="00CB7169" w:rsidRPr="00CB7169">
        <w:rPr>
          <w:sz w:val="22"/>
          <w:szCs w:val="22"/>
        </w:rPr>
        <w:t>roposals issued by the FCH 2 JU</w:t>
      </w:r>
      <w:r w:rsidR="0022661C">
        <w:rPr>
          <w:sz w:val="22"/>
          <w:szCs w:val="22"/>
        </w:rPr>
        <w:t xml:space="preserve"> and by additional activities incurred by non-members</w:t>
      </w:r>
      <w:r w:rsidR="00CB7169" w:rsidRPr="00CB7169">
        <w:rPr>
          <w:sz w:val="22"/>
          <w:szCs w:val="22"/>
        </w:rPr>
        <w:t>.</w:t>
      </w:r>
    </w:p>
    <w:p w14:paraId="1A79BFD1" w14:textId="77777777" w:rsidR="006B015E" w:rsidRDefault="006B015E" w:rsidP="00B86391">
      <w:pPr>
        <w:pStyle w:val="Heading1"/>
        <w:tabs>
          <w:tab w:val="left" w:pos="7623"/>
        </w:tabs>
        <w:ind w:left="0"/>
        <w:rPr>
          <w:sz w:val="22"/>
          <w:szCs w:val="22"/>
          <w:highlight w:val="lightGray"/>
          <w:shd w:val="clear" w:color="auto" w:fill="DBE5F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230"/>
      </w:tblGrid>
      <w:tr w:rsidR="008D7BEB" w14:paraId="31B0EF3A" w14:textId="77777777" w:rsidTr="0055145E">
        <w:tc>
          <w:tcPr>
            <w:tcW w:w="7230" w:type="dxa"/>
            <w:shd w:val="clear" w:color="auto" w:fill="D9D9D9" w:themeFill="background1" w:themeFillShade="D9"/>
          </w:tcPr>
          <w:p w14:paraId="4BC07763" w14:textId="0C1B8073" w:rsidR="008D7BEB" w:rsidRPr="008D7BEB" w:rsidRDefault="008D7BEB" w:rsidP="00B86391">
            <w:pPr>
              <w:pStyle w:val="Heading1"/>
              <w:tabs>
                <w:tab w:val="left" w:pos="7623"/>
              </w:tabs>
              <w:ind w:left="0"/>
              <w:outlineLvl w:val="0"/>
              <w:rPr>
                <w:highlight w:val="lightGray"/>
                <w:shd w:val="clear" w:color="auto" w:fill="DBE5F1"/>
              </w:rPr>
            </w:pPr>
            <w:r w:rsidRPr="008D7BEB">
              <w:rPr>
                <w:highlight w:val="lightGray"/>
                <w:shd w:val="clear" w:color="auto" w:fill="DBE5F1"/>
              </w:rPr>
              <w:t>Analysis of 201</w:t>
            </w:r>
            <w:r w:rsidR="00FB1245">
              <w:rPr>
                <w:highlight w:val="lightGray"/>
                <w:shd w:val="clear" w:color="auto" w:fill="DBE5F1"/>
              </w:rPr>
              <w:t>8</w:t>
            </w:r>
            <w:r w:rsidRPr="008D7BEB">
              <w:rPr>
                <w:highlight w:val="lightGray"/>
                <w:shd w:val="clear" w:color="auto" w:fill="DBE5F1"/>
              </w:rPr>
              <w:t xml:space="preserve"> IKAA Final Report</w:t>
            </w:r>
          </w:p>
        </w:tc>
      </w:tr>
    </w:tbl>
    <w:p w14:paraId="58103D1B" w14:textId="77777777" w:rsidR="00950078" w:rsidRDefault="00950078" w:rsidP="00B86391">
      <w:pPr>
        <w:pStyle w:val="BodyText"/>
        <w:jc w:val="both"/>
        <w:rPr>
          <w:sz w:val="22"/>
          <w:szCs w:val="22"/>
        </w:rPr>
      </w:pPr>
    </w:p>
    <w:p w14:paraId="1703662B" w14:textId="3A6F39FC" w:rsidR="0018206D" w:rsidRPr="00CB7169" w:rsidRDefault="00DA2C07" w:rsidP="00B86391">
      <w:pPr>
        <w:pStyle w:val="BodyText"/>
        <w:jc w:val="both"/>
        <w:rPr>
          <w:sz w:val="22"/>
          <w:szCs w:val="22"/>
        </w:rPr>
      </w:pPr>
      <w:r w:rsidRPr="00CB7169">
        <w:rPr>
          <w:sz w:val="22"/>
          <w:szCs w:val="22"/>
        </w:rPr>
        <w:t xml:space="preserve">Hydrogen Europe and </w:t>
      </w:r>
      <w:r w:rsidR="002C0D37" w:rsidRPr="00211E87">
        <w:rPr>
          <w:sz w:val="22"/>
          <w:szCs w:val="22"/>
        </w:rPr>
        <w:t>Hydrogen Europe Research</w:t>
      </w:r>
      <w:r w:rsidRPr="00211E87">
        <w:rPr>
          <w:sz w:val="22"/>
          <w:szCs w:val="22"/>
        </w:rPr>
        <w:t xml:space="preserve"> members reported </w:t>
      </w:r>
      <w:r w:rsidR="00422EC7" w:rsidRPr="00211E87">
        <w:rPr>
          <w:sz w:val="22"/>
          <w:szCs w:val="22"/>
        </w:rPr>
        <w:t xml:space="preserve">their final </w:t>
      </w:r>
      <w:r w:rsidR="00142570" w:rsidRPr="00211E87">
        <w:rPr>
          <w:sz w:val="22"/>
          <w:szCs w:val="22"/>
        </w:rPr>
        <w:t xml:space="preserve">certified </w:t>
      </w:r>
      <w:r w:rsidRPr="00211E87">
        <w:rPr>
          <w:sz w:val="22"/>
          <w:szCs w:val="22"/>
        </w:rPr>
        <w:t>investment</w:t>
      </w:r>
      <w:r w:rsidR="00422EC7" w:rsidRPr="00211E87">
        <w:rPr>
          <w:sz w:val="22"/>
          <w:szCs w:val="22"/>
        </w:rPr>
        <w:t xml:space="preserve"> figures</w:t>
      </w:r>
      <w:r w:rsidR="002622F2" w:rsidRPr="00211E87">
        <w:rPr>
          <w:sz w:val="22"/>
          <w:szCs w:val="22"/>
        </w:rPr>
        <w:t xml:space="preserve"> for the reporting period 1</w:t>
      </w:r>
      <w:r w:rsidRPr="00211E87">
        <w:rPr>
          <w:sz w:val="22"/>
          <w:szCs w:val="22"/>
        </w:rPr>
        <w:t xml:space="preserve"> </w:t>
      </w:r>
      <w:r w:rsidR="002622F2" w:rsidRPr="00211E87">
        <w:rPr>
          <w:sz w:val="22"/>
          <w:szCs w:val="22"/>
        </w:rPr>
        <w:t xml:space="preserve">January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="002622F2" w:rsidRPr="00211E87">
        <w:rPr>
          <w:sz w:val="22"/>
          <w:szCs w:val="22"/>
        </w:rPr>
        <w:t xml:space="preserve"> to 31 December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Pr="00211E87">
        <w:rPr>
          <w:sz w:val="22"/>
          <w:szCs w:val="22"/>
        </w:rPr>
        <w:t xml:space="preserve"> to the FCH </w:t>
      </w:r>
      <w:r w:rsidR="0018206D" w:rsidRPr="00211E87">
        <w:rPr>
          <w:sz w:val="22"/>
          <w:szCs w:val="22"/>
        </w:rPr>
        <w:t xml:space="preserve">2 </w:t>
      </w:r>
      <w:r w:rsidRPr="00211E87">
        <w:rPr>
          <w:sz w:val="22"/>
          <w:szCs w:val="22"/>
        </w:rPr>
        <w:t xml:space="preserve">JU Governing Board in </w:t>
      </w:r>
      <w:r w:rsidR="002622F2" w:rsidRPr="00211E87">
        <w:rPr>
          <w:sz w:val="22"/>
          <w:szCs w:val="22"/>
        </w:rPr>
        <w:t xml:space="preserve">June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9</w:t>
      </w:r>
      <w:r w:rsidRPr="00CB7169">
        <w:rPr>
          <w:sz w:val="22"/>
          <w:szCs w:val="22"/>
        </w:rPr>
        <w:t xml:space="preserve">. </w:t>
      </w:r>
    </w:p>
    <w:p w14:paraId="78733D95" w14:textId="77777777" w:rsidR="0018206D" w:rsidRPr="00CB7169" w:rsidRDefault="0018206D" w:rsidP="00B86391">
      <w:pPr>
        <w:pStyle w:val="BodyText"/>
        <w:jc w:val="both"/>
        <w:rPr>
          <w:sz w:val="22"/>
          <w:szCs w:val="22"/>
        </w:rPr>
      </w:pPr>
    </w:p>
    <w:p w14:paraId="780E85A5" w14:textId="32630F23" w:rsidR="00DA2C07" w:rsidRPr="00CB7169" w:rsidRDefault="00AE5BB2" w:rsidP="00B86391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In o</w:t>
      </w:r>
      <w:r w:rsidR="002622F2">
        <w:rPr>
          <w:sz w:val="22"/>
          <w:szCs w:val="22"/>
        </w:rPr>
        <w:t xml:space="preserve">rder to be included in </w:t>
      </w:r>
      <w:r w:rsidR="002622F2" w:rsidRPr="00211E87">
        <w:rPr>
          <w:sz w:val="22"/>
          <w:szCs w:val="22"/>
        </w:rPr>
        <w:t xml:space="preserve">this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Pr="00211E87">
        <w:rPr>
          <w:sz w:val="22"/>
          <w:szCs w:val="22"/>
        </w:rPr>
        <w:t xml:space="preserve"> IKAA </w:t>
      </w:r>
      <w:r>
        <w:rPr>
          <w:sz w:val="22"/>
          <w:szCs w:val="22"/>
        </w:rPr>
        <w:t xml:space="preserve">Final Report, </w:t>
      </w:r>
      <w:r w:rsidR="00DA2C07" w:rsidRPr="00CB7169">
        <w:rPr>
          <w:sz w:val="22"/>
          <w:szCs w:val="22"/>
        </w:rPr>
        <w:t xml:space="preserve">the figures of the activities had to be </w:t>
      </w:r>
      <w:r>
        <w:rPr>
          <w:sz w:val="22"/>
          <w:szCs w:val="22"/>
        </w:rPr>
        <w:t xml:space="preserve">part of the </w:t>
      </w:r>
      <w:r w:rsidR="00405576" w:rsidRPr="00CB7169">
        <w:rPr>
          <w:sz w:val="22"/>
          <w:szCs w:val="22"/>
        </w:rPr>
        <w:t>submitted</w:t>
      </w:r>
      <w:r w:rsidR="00405576">
        <w:rPr>
          <w:sz w:val="22"/>
          <w:szCs w:val="22"/>
        </w:rPr>
        <w:t xml:space="preserve"> </w:t>
      </w:r>
      <w:r w:rsidR="002622F2" w:rsidRPr="00211E87">
        <w:rPr>
          <w:sz w:val="22"/>
          <w:szCs w:val="22"/>
        </w:rPr>
        <w:t xml:space="preserve">IKAA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Pr="00211E87">
        <w:rPr>
          <w:sz w:val="22"/>
          <w:szCs w:val="22"/>
        </w:rPr>
        <w:t xml:space="preserve"> Plan </w:t>
      </w:r>
      <w:r>
        <w:rPr>
          <w:sz w:val="22"/>
          <w:szCs w:val="22"/>
        </w:rPr>
        <w:t xml:space="preserve">and </w:t>
      </w:r>
      <w:r w:rsidR="00DA2C07" w:rsidRPr="00CB7169">
        <w:rPr>
          <w:sz w:val="22"/>
          <w:szCs w:val="22"/>
        </w:rPr>
        <w:t xml:space="preserve">certified by an external auditor </w:t>
      </w:r>
      <w:r w:rsidR="00D401A7">
        <w:rPr>
          <w:sz w:val="22"/>
          <w:szCs w:val="22"/>
        </w:rPr>
        <w:t>(</w:t>
      </w:r>
      <w:r w:rsidR="00DA2C07" w:rsidRPr="00CB7169">
        <w:rPr>
          <w:sz w:val="22"/>
          <w:szCs w:val="22"/>
        </w:rPr>
        <w:t xml:space="preserve">or </w:t>
      </w:r>
      <w:r w:rsidR="00881D47" w:rsidRPr="00CB7169">
        <w:rPr>
          <w:sz w:val="22"/>
          <w:szCs w:val="22"/>
        </w:rPr>
        <w:t xml:space="preserve">an </w:t>
      </w:r>
      <w:r w:rsidR="00DA2C07" w:rsidRPr="00CB7169">
        <w:rPr>
          <w:sz w:val="22"/>
          <w:szCs w:val="22"/>
        </w:rPr>
        <w:t>independent public off</w:t>
      </w:r>
      <w:r w:rsidR="0018206D" w:rsidRPr="00CB7169">
        <w:rPr>
          <w:sz w:val="22"/>
          <w:szCs w:val="22"/>
        </w:rPr>
        <w:t xml:space="preserve">icer in case of research </w:t>
      </w:r>
      <w:r w:rsidR="001A0F41" w:rsidRPr="00CB7169">
        <w:rPr>
          <w:sz w:val="22"/>
          <w:szCs w:val="22"/>
        </w:rPr>
        <w:t>organizations</w:t>
      </w:r>
      <w:r w:rsidR="00D401A7">
        <w:rPr>
          <w:sz w:val="22"/>
          <w:szCs w:val="22"/>
        </w:rPr>
        <w:t>)</w:t>
      </w:r>
      <w:r w:rsidR="00DA2C07" w:rsidRPr="00CB7169">
        <w:rPr>
          <w:sz w:val="22"/>
          <w:szCs w:val="22"/>
        </w:rPr>
        <w:t xml:space="preserve"> in line with </w:t>
      </w:r>
      <w:r w:rsidR="00BD6965">
        <w:rPr>
          <w:sz w:val="22"/>
          <w:szCs w:val="22"/>
        </w:rPr>
        <w:t>established terms of reference</w:t>
      </w:r>
      <w:r w:rsidR="00D401A7">
        <w:rPr>
          <w:sz w:val="22"/>
          <w:szCs w:val="22"/>
        </w:rPr>
        <w:t xml:space="preserve"> or be exempted from the certification</w:t>
      </w:r>
      <w:r w:rsidR="00DA2C07" w:rsidRPr="00CB7169">
        <w:rPr>
          <w:sz w:val="22"/>
          <w:szCs w:val="22"/>
        </w:rPr>
        <w:t>. Members whose cumulated contribution</w:t>
      </w:r>
      <w:r w:rsidR="00422EC7" w:rsidRPr="00CB7169">
        <w:rPr>
          <w:sz w:val="22"/>
          <w:szCs w:val="22"/>
        </w:rPr>
        <w:t>s</w:t>
      </w:r>
      <w:r w:rsidR="00DA2C07" w:rsidRPr="00CB7169">
        <w:rPr>
          <w:sz w:val="22"/>
          <w:szCs w:val="22"/>
        </w:rPr>
        <w:t xml:space="preserve"> </w:t>
      </w:r>
      <w:r w:rsidR="00422EC7" w:rsidRPr="00CB7169">
        <w:rPr>
          <w:sz w:val="22"/>
          <w:szCs w:val="22"/>
        </w:rPr>
        <w:t>during that</w:t>
      </w:r>
      <w:r w:rsidR="00DA2C07" w:rsidRPr="00CB7169">
        <w:rPr>
          <w:sz w:val="22"/>
          <w:szCs w:val="22"/>
        </w:rPr>
        <w:t xml:space="preserve"> period w</w:t>
      </w:r>
      <w:r w:rsidR="00422EC7" w:rsidRPr="00CB7169">
        <w:rPr>
          <w:sz w:val="22"/>
          <w:szCs w:val="22"/>
        </w:rPr>
        <w:t>ere</w:t>
      </w:r>
      <w:r w:rsidR="00DA2C07" w:rsidRPr="00CB7169">
        <w:rPr>
          <w:sz w:val="22"/>
          <w:szCs w:val="22"/>
        </w:rPr>
        <w:t xml:space="preserve"> below the threshold of €325.000 (</w:t>
      </w:r>
      <w:r w:rsidR="00BD6965">
        <w:rPr>
          <w:sz w:val="22"/>
          <w:szCs w:val="22"/>
        </w:rPr>
        <w:t>mostly</w:t>
      </w:r>
      <w:r w:rsidR="00DA2C07" w:rsidRPr="00CB7169">
        <w:rPr>
          <w:sz w:val="22"/>
          <w:szCs w:val="22"/>
        </w:rPr>
        <w:t xml:space="preserve"> SMEs and small rese</w:t>
      </w:r>
      <w:r w:rsidR="00CB7169" w:rsidRPr="00CB7169">
        <w:rPr>
          <w:sz w:val="22"/>
          <w:szCs w:val="22"/>
        </w:rPr>
        <w:t>arch organizations) were</w:t>
      </w:r>
      <w:r w:rsidR="00D401A7">
        <w:rPr>
          <w:sz w:val="22"/>
          <w:szCs w:val="22"/>
        </w:rPr>
        <w:t xml:space="preserve"> therefore</w:t>
      </w:r>
      <w:r w:rsidR="00CB7169" w:rsidRPr="00CB7169">
        <w:rPr>
          <w:sz w:val="22"/>
          <w:szCs w:val="22"/>
        </w:rPr>
        <w:t xml:space="preserve"> encouraged</w:t>
      </w:r>
      <w:r w:rsidR="00DA2C07" w:rsidRPr="00CB7169">
        <w:rPr>
          <w:sz w:val="22"/>
          <w:szCs w:val="22"/>
        </w:rPr>
        <w:t xml:space="preserve"> to report</w:t>
      </w:r>
      <w:r w:rsidR="00CB7169" w:rsidRPr="00CB7169">
        <w:rPr>
          <w:sz w:val="22"/>
          <w:szCs w:val="22"/>
        </w:rPr>
        <w:t xml:space="preserve"> </w:t>
      </w:r>
      <w:r w:rsidR="00BD6965">
        <w:rPr>
          <w:sz w:val="22"/>
          <w:szCs w:val="22"/>
        </w:rPr>
        <w:t>while</w:t>
      </w:r>
      <w:r w:rsidR="00DA2C07" w:rsidRPr="00CB7169">
        <w:rPr>
          <w:sz w:val="22"/>
          <w:szCs w:val="22"/>
        </w:rPr>
        <w:t xml:space="preserve"> </w:t>
      </w:r>
      <w:r w:rsidR="00D401A7">
        <w:rPr>
          <w:sz w:val="22"/>
          <w:szCs w:val="22"/>
        </w:rPr>
        <w:t>the obligation to certify was waived for them</w:t>
      </w:r>
      <w:r w:rsidR="00DA2C07" w:rsidRPr="00CB7169">
        <w:rPr>
          <w:sz w:val="22"/>
          <w:szCs w:val="22"/>
        </w:rPr>
        <w:t>.</w:t>
      </w:r>
    </w:p>
    <w:p w14:paraId="602A0958" w14:textId="77777777" w:rsidR="00DA2C07" w:rsidRDefault="00DA2C07" w:rsidP="00B86391">
      <w:pPr>
        <w:pStyle w:val="BodyText"/>
        <w:jc w:val="both"/>
        <w:rPr>
          <w:sz w:val="22"/>
          <w:szCs w:val="22"/>
        </w:rPr>
      </w:pPr>
    </w:p>
    <w:p w14:paraId="47B55F4B" w14:textId="01278EE5" w:rsidR="00BD6965" w:rsidRDefault="00BD6965" w:rsidP="00B86391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A table below presents overall final IKAA for a</w:t>
      </w:r>
      <w:r w:rsidR="002622F2">
        <w:rPr>
          <w:sz w:val="22"/>
          <w:szCs w:val="22"/>
        </w:rPr>
        <w:t>ll additional activities</w:t>
      </w:r>
      <w:r w:rsidR="002622F2" w:rsidRPr="00211E87">
        <w:rPr>
          <w:sz w:val="22"/>
          <w:szCs w:val="22"/>
        </w:rPr>
        <w:t xml:space="preserve"> in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="00673D0A" w:rsidRPr="00211E87">
        <w:rPr>
          <w:sz w:val="22"/>
          <w:szCs w:val="22"/>
        </w:rPr>
        <w:t xml:space="preserve"> (certified activities and activities below the certification threshold)</w:t>
      </w:r>
      <w:r w:rsidRPr="00211E87">
        <w:rPr>
          <w:sz w:val="22"/>
          <w:szCs w:val="22"/>
        </w:rPr>
        <w:t>:</w:t>
      </w:r>
    </w:p>
    <w:p w14:paraId="6576830D" w14:textId="77777777" w:rsidR="00754939" w:rsidRDefault="00754939" w:rsidP="00B86391">
      <w:pPr>
        <w:pStyle w:val="BodyText"/>
        <w:jc w:val="both"/>
        <w:rPr>
          <w:sz w:val="22"/>
          <w:szCs w:val="22"/>
        </w:rPr>
      </w:pPr>
    </w:p>
    <w:tbl>
      <w:tblPr>
        <w:tblW w:w="70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701"/>
        <w:gridCol w:w="2354"/>
      </w:tblGrid>
      <w:tr w:rsidR="00DA2C07" w:rsidRPr="00CB7169" w14:paraId="1A52405A" w14:textId="77777777" w:rsidTr="00B86391">
        <w:trPr>
          <w:trHeight w:val="315"/>
          <w:jc w:val="center"/>
        </w:trPr>
        <w:tc>
          <w:tcPr>
            <w:tcW w:w="70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1415906C" w14:textId="45EF4516" w:rsidR="00DA2C07" w:rsidRPr="00CB7169" w:rsidRDefault="00DA2C07" w:rsidP="00494CB1">
            <w:pPr>
              <w:widowControl/>
              <w:jc w:val="both"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CB7169">
              <w:rPr>
                <w:rFonts w:eastAsia="Times New Roman"/>
                <w:b/>
                <w:bCs/>
                <w:color w:val="FFFFFF"/>
                <w:lang w:eastAsia="de-DE"/>
              </w:rPr>
              <w:t>Industry or Research / Submissions</w:t>
            </w:r>
            <w:r w:rsidR="002622F2">
              <w:rPr>
                <w:rFonts w:eastAsia="Times New Roman"/>
                <w:b/>
                <w:bCs/>
                <w:color w:val="FFFFFF"/>
                <w:lang w:eastAsia="de-DE"/>
              </w:rPr>
              <w:t>: January –</w:t>
            </w:r>
            <w:r w:rsidR="00841747">
              <w:rPr>
                <w:rFonts w:eastAsia="Times New Roman"/>
                <w:b/>
                <w:bCs/>
                <w:color w:val="FFFFFF"/>
                <w:lang w:eastAsia="de-DE"/>
              </w:rPr>
              <w:t xml:space="preserve"> </w:t>
            </w:r>
            <w:r w:rsidR="002622F2">
              <w:rPr>
                <w:rFonts w:eastAsia="Times New Roman"/>
                <w:b/>
                <w:bCs/>
                <w:color w:val="FFFFFF"/>
                <w:lang w:eastAsia="de-DE"/>
              </w:rPr>
              <w:t>Decembe</w:t>
            </w:r>
            <w:r w:rsidR="002622F2" w:rsidRPr="00211E87"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r 201</w:t>
            </w:r>
            <w:r w:rsidR="00FB1245"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8</w:t>
            </w:r>
          </w:p>
        </w:tc>
      </w:tr>
      <w:tr w:rsidR="00DA2C07" w:rsidRPr="00CB7169" w14:paraId="27F00C98" w14:textId="77777777" w:rsidTr="009D2521">
        <w:trPr>
          <w:trHeight w:val="539"/>
          <w:jc w:val="center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607B6A40" w14:textId="77777777" w:rsidR="00DA2C07" w:rsidRPr="00CB7169" w:rsidRDefault="00DA2C07" w:rsidP="00B86391">
            <w:pPr>
              <w:widowControl/>
              <w:jc w:val="both"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CB7169">
              <w:rPr>
                <w:rFonts w:eastAsia="Times New Roman"/>
                <w:b/>
                <w:bCs/>
                <w:color w:val="FFFFFF"/>
                <w:lang w:eastAsia="de-DE"/>
              </w:rPr>
              <w:t>Sector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79A803DF" w14:textId="77777777" w:rsidR="00DA2C07" w:rsidRPr="00CB7169" w:rsidRDefault="00776C03" w:rsidP="00B86391">
            <w:pPr>
              <w:widowControl/>
              <w:jc w:val="both"/>
              <w:rPr>
                <w:rFonts w:eastAsia="Times New Roman"/>
                <w:b/>
                <w:bCs/>
                <w:color w:val="FFFFFF"/>
                <w:lang w:eastAsia="de-DE"/>
              </w:rPr>
            </w:pPr>
            <w:r>
              <w:rPr>
                <w:rFonts w:eastAsia="Times New Roman"/>
                <w:b/>
                <w:bCs/>
                <w:color w:val="FFFFFF"/>
                <w:lang w:eastAsia="de-DE"/>
              </w:rPr>
              <w:t># of</w:t>
            </w:r>
            <w:r w:rsidR="00DA2C07" w:rsidRPr="00CB7169">
              <w:rPr>
                <w:rFonts w:eastAsia="Times New Roman"/>
                <w:b/>
                <w:bCs/>
                <w:color w:val="FFFFFF"/>
                <w:lang w:eastAsia="de-DE"/>
              </w:rPr>
              <w:t xml:space="preserve"> members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3DA96E0F" w14:textId="77777777" w:rsidR="00DA2C07" w:rsidRPr="00CB7169" w:rsidRDefault="00776C03" w:rsidP="00B86391">
            <w:pPr>
              <w:widowControl/>
              <w:jc w:val="both"/>
              <w:rPr>
                <w:rFonts w:eastAsia="Times New Roman"/>
                <w:b/>
                <w:bCs/>
                <w:color w:val="FFFFFF"/>
                <w:lang w:eastAsia="de-DE"/>
              </w:rPr>
            </w:pPr>
            <w:r>
              <w:rPr>
                <w:rFonts w:eastAsia="Times New Roman"/>
                <w:b/>
                <w:bCs/>
                <w:color w:val="FFFFFF"/>
                <w:lang w:eastAsia="de-DE"/>
              </w:rPr>
              <w:t xml:space="preserve">Value of </w:t>
            </w:r>
            <w:r w:rsidR="00DA2C07" w:rsidRPr="00CB7169">
              <w:rPr>
                <w:rFonts w:eastAsia="Times New Roman"/>
                <w:b/>
                <w:bCs/>
                <w:color w:val="FFFFFF"/>
                <w:lang w:eastAsia="de-DE"/>
              </w:rPr>
              <w:t>IKAA (M€)</w:t>
            </w:r>
          </w:p>
        </w:tc>
      </w:tr>
      <w:tr w:rsidR="00DA2C07" w:rsidRPr="00D10A03" w14:paraId="611946D4" w14:textId="77777777" w:rsidTr="009D2521">
        <w:trPr>
          <w:trHeight w:val="315"/>
          <w:jc w:val="center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3F1FE036" w14:textId="77777777" w:rsidR="00DA2C07" w:rsidRPr="00D10A03" w:rsidRDefault="00DA2C07" w:rsidP="00776C03">
            <w:pPr>
              <w:widowControl/>
              <w:jc w:val="both"/>
              <w:rPr>
                <w:rFonts w:eastAsia="Times New Roman"/>
                <w:color w:val="000000"/>
                <w:lang w:eastAsia="de-DE"/>
              </w:rPr>
            </w:pPr>
            <w:r w:rsidRPr="00D10A03">
              <w:rPr>
                <w:rFonts w:eastAsia="Times New Roman"/>
                <w:color w:val="000000"/>
                <w:lang w:eastAsia="de-DE"/>
              </w:rPr>
              <w:t>Industry</w:t>
            </w:r>
            <w:r w:rsidR="00673D0A" w:rsidRPr="00D10A03">
              <w:rPr>
                <w:rFonts w:eastAsia="Times New Roman"/>
                <w:color w:val="000000"/>
                <w:lang w:eastAsia="de-DE"/>
              </w:rPr>
              <w:t xml:space="preserve"> (Hydrogen Europe)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hideMark/>
          </w:tcPr>
          <w:p w14:paraId="44E94BE9" w14:textId="6D71D44C" w:rsidR="00DA2C07" w:rsidRPr="00D10A03" w:rsidRDefault="00841747" w:rsidP="00776C03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24</w:t>
            </w:r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DDEBF7" w:fill="DDEBF7"/>
            <w:noWrap/>
            <w:hideMark/>
          </w:tcPr>
          <w:p w14:paraId="451210BF" w14:textId="5EB7EF10" w:rsidR="00DA2C07" w:rsidRPr="00D10A03" w:rsidRDefault="00841747" w:rsidP="005C5A8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65</w:t>
            </w:r>
          </w:p>
        </w:tc>
      </w:tr>
      <w:tr w:rsidR="00DA2C07" w:rsidRPr="00D10A03" w14:paraId="7294813D" w14:textId="77777777" w:rsidTr="00841747">
        <w:trPr>
          <w:trHeight w:val="315"/>
          <w:jc w:val="center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BF0BE2" w14:textId="5A0CFB8E" w:rsidR="00673D0A" w:rsidRPr="00D10A03" w:rsidRDefault="00DA2C07" w:rsidP="002C0D37">
            <w:pPr>
              <w:widowControl/>
              <w:jc w:val="both"/>
              <w:rPr>
                <w:rFonts w:eastAsia="Times New Roman"/>
                <w:color w:val="000000"/>
                <w:lang w:eastAsia="de-DE"/>
              </w:rPr>
            </w:pPr>
            <w:r w:rsidRPr="00D10A03">
              <w:rPr>
                <w:rFonts w:eastAsia="Times New Roman"/>
                <w:color w:val="000000"/>
                <w:lang w:eastAsia="de-DE"/>
              </w:rPr>
              <w:t>Research</w:t>
            </w:r>
            <w:r w:rsidR="00776C03" w:rsidRPr="00D10A03">
              <w:rPr>
                <w:rFonts w:eastAsia="Times New Roman"/>
                <w:color w:val="000000"/>
                <w:lang w:eastAsia="de-DE"/>
              </w:rPr>
              <w:t xml:space="preserve"> </w:t>
            </w:r>
            <w:r w:rsidR="00673D0A" w:rsidRPr="00D10A03">
              <w:rPr>
                <w:rFonts w:eastAsia="Times New Roman"/>
                <w:color w:val="000000"/>
                <w:lang w:eastAsia="de-DE"/>
              </w:rPr>
              <w:t>(</w:t>
            </w:r>
            <w:r w:rsidR="002C0D37" w:rsidRPr="00D10A03">
              <w:rPr>
                <w:rFonts w:eastAsia="Times New Roman"/>
                <w:color w:val="000000"/>
                <w:lang w:eastAsia="de-DE"/>
              </w:rPr>
              <w:t>Hydrogen Europe Research</w:t>
            </w:r>
            <w:r w:rsidR="00673D0A" w:rsidRPr="00D10A03">
              <w:rPr>
                <w:rFonts w:eastAsia="Times New Roman"/>
                <w:color w:val="000000"/>
                <w:lang w:eastAsia="de-DE"/>
              </w:rPr>
              <w:t>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A0EA" w14:textId="18090C45" w:rsidR="0032785E" w:rsidRPr="00D10A03" w:rsidRDefault="00841747" w:rsidP="0032785E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18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4F33F" w14:textId="515B138D" w:rsidR="00224220" w:rsidRPr="00D10A03" w:rsidRDefault="00841747" w:rsidP="005C5A8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28</w:t>
            </w:r>
          </w:p>
        </w:tc>
      </w:tr>
      <w:tr w:rsidR="00DA2C07" w:rsidRPr="00D10A03" w14:paraId="20D4DC27" w14:textId="77777777" w:rsidTr="009D2521">
        <w:trPr>
          <w:trHeight w:val="305"/>
          <w:jc w:val="center"/>
        </w:trPr>
        <w:tc>
          <w:tcPr>
            <w:tcW w:w="29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0AD47"/>
            <w:noWrap/>
            <w:vAlign w:val="center"/>
            <w:hideMark/>
          </w:tcPr>
          <w:p w14:paraId="462EFAB2" w14:textId="77777777" w:rsidR="00DA2C07" w:rsidRPr="00D10A03" w:rsidRDefault="00DA2C07" w:rsidP="00B86391">
            <w:pPr>
              <w:widowControl/>
              <w:jc w:val="both"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D10A03">
              <w:rPr>
                <w:rFonts w:eastAsia="Times New Roman"/>
                <w:b/>
                <w:bCs/>
                <w:color w:val="FFFFFF"/>
                <w:lang w:eastAsia="de-DE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5B9BD5"/>
              <w:left w:val="single" w:sz="4" w:space="0" w:color="5B9BD5"/>
              <w:bottom w:val="single" w:sz="8" w:space="0" w:color="000000"/>
              <w:right w:val="single" w:sz="4" w:space="0" w:color="auto"/>
            </w:tcBorders>
            <w:shd w:val="clear" w:color="000000" w:fill="70AD47"/>
            <w:noWrap/>
            <w:vAlign w:val="bottom"/>
            <w:hideMark/>
          </w:tcPr>
          <w:p w14:paraId="13544A1F" w14:textId="46B0E763" w:rsidR="0032785E" w:rsidRPr="00D10A03" w:rsidRDefault="00841747" w:rsidP="0032785E">
            <w:pPr>
              <w:widowControl/>
              <w:jc w:val="center"/>
              <w:rPr>
                <w:rFonts w:eastAsia="Times New Roman"/>
                <w:b/>
                <w:bCs/>
                <w:color w:val="FFFFFF" w:themeColor="background1"/>
                <w:lang w:eastAsia="de-DE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42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70AD47"/>
            <w:noWrap/>
            <w:vAlign w:val="bottom"/>
            <w:hideMark/>
          </w:tcPr>
          <w:p w14:paraId="23AC375E" w14:textId="2E09E0CA" w:rsidR="008A6F29" w:rsidRPr="00D10A03" w:rsidRDefault="00841747" w:rsidP="005C5A80">
            <w:pPr>
              <w:widowControl/>
              <w:jc w:val="center"/>
              <w:rPr>
                <w:rFonts w:eastAsia="Times New Roman"/>
                <w:b/>
                <w:bCs/>
                <w:color w:val="FFFFFF" w:themeColor="background1"/>
                <w:lang w:eastAsia="de-DE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93</w:t>
            </w:r>
          </w:p>
        </w:tc>
      </w:tr>
    </w:tbl>
    <w:p w14:paraId="210E9731" w14:textId="23F744E6" w:rsidR="00DA2C07" w:rsidRPr="00CB7169" w:rsidRDefault="00DA2C07" w:rsidP="00B86391">
      <w:pPr>
        <w:pStyle w:val="BodyText"/>
        <w:jc w:val="both"/>
        <w:rPr>
          <w:sz w:val="16"/>
          <w:szCs w:val="22"/>
        </w:rPr>
      </w:pPr>
      <w:r w:rsidRPr="00D10A03">
        <w:rPr>
          <w:sz w:val="16"/>
          <w:szCs w:val="22"/>
        </w:rPr>
        <w:t xml:space="preserve">* </w:t>
      </w:r>
      <w:r w:rsidR="00B270ED" w:rsidRPr="00D10A03">
        <w:rPr>
          <w:sz w:val="16"/>
          <w:szCs w:val="16"/>
        </w:rPr>
        <w:t xml:space="preserve">Out of </w:t>
      </w:r>
      <w:r w:rsidR="008A6F29" w:rsidRPr="00D10A03">
        <w:rPr>
          <w:b/>
          <w:sz w:val="16"/>
          <w:szCs w:val="16"/>
        </w:rPr>
        <w:t>9</w:t>
      </w:r>
      <w:r w:rsidR="00841747">
        <w:rPr>
          <w:b/>
          <w:sz w:val="16"/>
          <w:szCs w:val="16"/>
        </w:rPr>
        <w:t>4</w:t>
      </w:r>
      <w:r w:rsidR="00F16509" w:rsidRPr="00D10A03">
        <w:rPr>
          <w:sz w:val="16"/>
          <w:szCs w:val="16"/>
        </w:rPr>
        <w:t xml:space="preserve"> </w:t>
      </w:r>
      <w:r w:rsidR="00B270ED" w:rsidRPr="00D10A03">
        <w:rPr>
          <w:sz w:val="16"/>
          <w:szCs w:val="16"/>
        </w:rPr>
        <w:t>M</w:t>
      </w:r>
      <w:r w:rsidR="00F16509" w:rsidRPr="00D10A03">
        <w:rPr>
          <w:sz w:val="16"/>
          <w:szCs w:val="16"/>
        </w:rPr>
        <w:t xml:space="preserve"> </w:t>
      </w:r>
      <w:r w:rsidR="002622F2" w:rsidRPr="00D10A03">
        <w:rPr>
          <w:sz w:val="16"/>
          <w:szCs w:val="16"/>
        </w:rPr>
        <w:t xml:space="preserve">€, an amount of </w:t>
      </w:r>
      <w:r w:rsidR="00841747">
        <w:rPr>
          <w:b/>
          <w:sz w:val="16"/>
          <w:szCs w:val="16"/>
        </w:rPr>
        <w:t>3</w:t>
      </w:r>
      <w:r w:rsidR="00FB1245" w:rsidRPr="00D10A03">
        <w:rPr>
          <w:b/>
          <w:sz w:val="16"/>
          <w:szCs w:val="16"/>
        </w:rPr>
        <w:t xml:space="preserve"> </w:t>
      </w:r>
      <w:r w:rsidR="00B270ED" w:rsidRPr="00D10A03">
        <w:rPr>
          <w:b/>
          <w:sz w:val="16"/>
          <w:szCs w:val="16"/>
        </w:rPr>
        <w:t>M €</w:t>
      </w:r>
      <w:r w:rsidR="00B270ED" w:rsidRPr="00D10A03">
        <w:rPr>
          <w:sz w:val="16"/>
          <w:szCs w:val="16"/>
        </w:rPr>
        <w:t xml:space="preserve"> was not subject to certification since below the threshold</w:t>
      </w:r>
      <w:r w:rsidR="00841747">
        <w:rPr>
          <w:sz w:val="16"/>
          <w:szCs w:val="16"/>
        </w:rPr>
        <w:t xml:space="preserve"> in the IKAA Plan 2018</w:t>
      </w:r>
    </w:p>
    <w:p w14:paraId="47CAF02B" w14:textId="6091CC95" w:rsidR="00DA2C07" w:rsidRDefault="00DA2C07" w:rsidP="00B86391">
      <w:pPr>
        <w:pStyle w:val="BodyText"/>
        <w:jc w:val="both"/>
        <w:rPr>
          <w:sz w:val="22"/>
          <w:szCs w:val="22"/>
        </w:rPr>
      </w:pPr>
    </w:p>
    <w:p w14:paraId="34835C51" w14:textId="4CDE7D38" w:rsidR="000713CB" w:rsidRPr="00211E87" w:rsidRDefault="000713CB" w:rsidP="00A973B0">
      <w:pPr>
        <w:pStyle w:val="BodyText"/>
        <w:ind w:left="-142" w:right="141"/>
        <w:jc w:val="both"/>
        <w:rPr>
          <w:b/>
          <w:sz w:val="22"/>
          <w:szCs w:val="22"/>
        </w:rPr>
      </w:pPr>
      <w:r w:rsidRPr="00211E87">
        <w:rPr>
          <w:sz w:val="22"/>
          <w:szCs w:val="22"/>
        </w:rPr>
        <w:lastRenderedPageBreak/>
        <w:t xml:space="preserve">For the period of </w:t>
      </w:r>
      <w:r w:rsidRPr="00841747">
        <w:rPr>
          <w:b/>
          <w:sz w:val="22"/>
          <w:szCs w:val="22"/>
        </w:rPr>
        <w:t xml:space="preserve">January – </w:t>
      </w:r>
      <w:r w:rsidR="002622F2" w:rsidRPr="00841747">
        <w:rPr>
          <w:b/>
          <w:sz w:val="22"/>
          <w:szCs w:val="22"/>
        </w:rPr>
        <w:t>December</w:t>
      </w:r>
      <w:r w:rsidR="002622F2" w:rsidRPr="00211E87">
        <w:rPr>
          <w:sz w:val="22"/>
          <w:szCs w:val="22"/>
        </w:rPr>
        <w:t xml:space="preserve"> </w:t>
      </w:r>
      <w:r w:rsidR="002622F2" w:rsidRPr="00211E87">
        <w:rPr>
          <w:b/>
          <w:sz w:val="22"/>
          <w:szCs w:val="22"/>
        </w:rPr>
        <w:t>201</w:t>
      </w:r>
      <w:r w:rsidR="00FB1245">
        <w:rPr>
          <w:b/>
          <w:sz w:val="22"/>
          <w:szCs w:val="22"/>
        </w:rPr>
        <w:t>8</w:t>
      </w:r>
      <w:r w:rsidRPr="00211E87">
        <w:rPr>
          <w:sz w:val="22"/>
          <w:szCs w:val="22"/>
        </w:rPr>
        <w:t xml:space="preserve">, </w:t>
      </w:r>
      <w:r w:rsidR="00841747" w:rsidRPr="00515943">
        <w:rPr>
          <w:b/>
          <w:sz w:val="22"/>
          <w:szCs w:val="22"/>
        </w:rPr>
        <w:t>24</w:t>
      </w:r>
      <w:r w:rsidR="00D401A7" w:rsidRPr="00211E87">
        <w:rPr>
          <w:b/>
          <w:sz w:val="22"/>
          <w:szCs w:val="22"/>
        </w:rPr>
        <w:t xml:space="preserve"> </w:t>
      </w:r>
      <w:r w:rsidR="00841747">
        <w:rPr>
          <w:sz w:val="22"/>
          <w:szCs w:val="22"/>
        </w:rPr>
        <w:t>industry and research organizations</w:t>
      </w:r>
      <w:r w:rsidR="00254AA3" w:rsidRPr="00211E87">
        <w:rPr>
          <w:sz w:val="22"/>
          <w:szCs w:val="22"/>
        </w:rPr>
        <w:t xml:space="preserve"> certified the activities </w:t>
      </w:r>
      <w:r w:rsidR="006C02CD" w:rsidRPr="00211E87">
        <w:rPr>
          <w:sz w:val="22"/>
          <w:szCs w:val="22"/>
        </w:rPr>
        <w:t>for a</w:t>
      </w:r>
      <w:r w:rsidR="00254AA3" w:rsidRPr="00211E87">
        <w:rPr>
          <w:sz w:val="22"/>
          <w:szCs w:val="22"/>
        </w:rPr>
        <w:t xml:space="preserve"> total amount of </w:t>
      </w:r>
      <w:r w:rsidR="00E8531B">
        <w:rPr>
          <w:sz w:val="22"/>
          <w:szCs w:val="22"/>
        </w:rPr>
        <w:t xml:space="preserve">nearly </w:t>
      </w:r>
      <w:r w:rsidR="00254AA3" w:rsidRPr="00841747">
        <w:rPr>
          <w:b/>
          <w:sz w:val="22"/>
          <w:szCs w:val="22"/>
        </w:rPr>
        <w:t>€</w:t>
      </w:r>
      <w:r w:rsidR="00E8531B">
        <w:rPr>
          <w:b/>
          <w:sz w:val="22"/>
          <w:szCs w:val="22"/>
        </w:rPr>
        <w:t>91</w:t>
      </w:r>
      <w:r w:rsidR="00254AA3" w:rsidRPr="00841747">
        <w:rPr>
          <w:sz w:val="22"/>
          <w:szCs w:val="22"/>
        </w:rPr>
        <w:t xml:space="preserve"> million,</w:t>
      </w:r>
      <w:r w:rsidR="00254AA3" w:rsidRPr="00211E87">
        <w:rPr>
          <w:sz w:val="22"/>
          <w:szCs w:val="22"/>
        </w:rPr>
        <w:t xml:space="preserve"> while the residual amount of </w:t>
      </w:r>
      <w:r w:rsidR="00254AA3" w:rsidRPr="00211E87">
        <w:rPr>
          <w:b/>
          <w:sz w:val="22"/>
          <w:szCs w:val="22"/>
        </w:rPr>
        <w:t>€</w:t>
      </w:r>
      <w:r w:rsidR="00E8531B">
        <w:rPr>
          <w:b/>
          <w:sz w:val="22"/>
          <w:szCs w:val="22"/>
        </w:rPr>
        <w:t xml:space="preserve">3 </w:t>
      </w:r>
      <w:r w:rsidR="00254AA3" w:rsidRPr="00211E87">
        <w:rPr>
          <w:sz w:val="22"/>
          <w:szCs w:val="22"/>
        </w:rPr>
        <w:t>million</w:t>
      </w:r>
      <w:r w:rsidR="003C1062" w:rsidRPr="00211E87">
        <w:rPr>
          <w:sz w:val="22"/>
          <w:szCs w:val="22"/>
        </w:rPr>
        <w:t xml:space="preserve"> was attributed to </w:t>
      </w:r>
      <w:r w:rsidR="00841747">
        <w:rPr>
          <w:b/>
          <w:sz w:val="22"/>
          <w:szCs w:val="22"/>
        </w:rPr>
        <w:t>18</w:t>
      </w:r>
      <w:r w:rsidR="00254AA3" w:rsidRPr="00211E87">
        <w:rPr>
          <w:sz w:val="22"/>
          <w:szCs w:val="22"/>
        </w:rPr>
        <w:t xml:space="preserve"> organizations who</w:t>
      </w:r>
      <w:r w:rsidR="00841747">
        <w:rPr>
          <w:sz w:val="22"/>
          <w:szCs w:val="22"/>
        </w:rPr>
        <w:t>se</w:t>
      </w:r>
      <w:r w:rsidR="00254AA3" w:rsidRPr="00211E87">
        <w:rPr>
          <w:sz w:val="22"/>
          <w:szCs w:val="22"/>
        </w:rPr>
        <w:t xml:space="preserve"> activities </w:t>
      </w:r>
      <w:r w:rsidR="00841747">
        <w:rPr>
          <w:sz w:val="22"/>
          <w:szCs w:val="22"/>
        </w:rPr>
        <w:t xml:space="preserve">were </w:t>
      </w:r>
      <w:r w:rsidR="00254AA3" w:rsidRPr="00211E87">
        <w:rPr>
          <w:sz w:val="22"/>
          <w:szCs w:val="22"/>
        </w:rPr>
        <w:t>below €325.000 threshold</w:t>
      </w:r>
      <w:r w:rsidRPr="00211E87">
        <w:rPr>
          <w:sz w:val="22"/>
          <w:szCs w:val="22"/>
        </w:rPr>
        <w:t>.</w:t>
      </w:r>
      <w:r w:rsidR="006F5384" w:rsidRPr="00211E87">
        <w:rPr>
          <w:b/>
          <w:sz w:val="22"/>
          <w:szCs w:val="22"/>
        </w:rPr>
        <w:t xml:space="preserve"> </w:t>
      </w:r>
      <w:r w:rsidR="00841747">
        <w:rPr>
          <w:sz w:val="22"/>
          <w:szCs w:val="22"/>
        </w:rPr>
        <w:t xml:space="preserve">16 </w:t>
      </w:r>
      <w:r w:rsidR="006F5384" w:rsidRPr="00211E87">
        <w:rPr>
          <w:sz w:val="22"/>
          <w:szCs w:val="22"/>
        </w:rPr>
        <w:t xml:space="preserve">organizations </w:t>
      </w:r>
      <w:r w:rsidR="00841747">
        <w:rPr>
          <w:sz w:val="22"/>
          <w:szCs w:val="22"/>
        </w:rPr>
        <w:t>are still in process of certification which will be reported later in 2019</w:t>
      </w:r>
      <w:r w:rsidR="00C12538">
        <w:rPr>
          <w:sz w:val="22"/>
          <w:szCs w:val="22"/>
        </w:rPr>
        <w:t>.</w:t>
      </w:r>
      <w:r w:rsidR="0022661C">
        <w:rPr>
          <w:sz w:val="22"/>
          <w:szCs w:val="22"/>
        </w:rPr>
        <w:t xml:space="preserve"> </w:t>
      </w:r>
    </w:p>
    <w:p w14:paraId="001BE3D6" w14:textId="77777777" w:rsidR="0046517E" w:rsidRDefault="0046517E" w:rsidP="0000142E">
      <w:pPr>
        <w:pStyle w:val="BodyText"/>
        <w:ind w:left="-113"/>
        <w:jc w:val="both"/>
        <w:rPr>
          <w:sz w:val="22"/>
          <w:szCs w:val="22"/>
        </w:rPr>
      </w:pPr>
    </w:p>
    <w:p w14:paraId="765198F2" w14:textId="7C00C292" w:rsidR="00406450" w:rsidRPr="00515943" w:rsidRDefault="00C12538" w:rsidP="00A973B0">
      <w:pPr>
        <w:pStyle w:val="BodyText"/>
        <w:ind w:left="-142"/>
        <w:jc w:val="both"/>
        <w:rPr>
          <w:sz w:val="22"/>
          <w:szCs w:val="22"/>
        </w:rPr>
      </w:pPr>
      <w:r w:rsidRPr="00515943">
        <w:rPr>
          <w:sz w:val="22"/>
          <w:szCs w:val="22"/>
        </w:rPr>
        <w:t xml:space="preserve">From </w:t>
      </w:r>
      <w:r w:rsidRPr="00515943">
        <w:rPr>
          <w:b/>
          <w:sz w:val="22"/>
          <w:szCs w:val="22"/>
        </w:rPr>
        <w:t xml:space="preserve">€ </w:t>
      </w:r>
      <w:r w:rsidR="00E8531B">
        <w:rPr>
          <w:b/>
          <w:sz w:val="22"/>
          <w:szCs w:val="22"/>
        </w:rPr>
        <w:t>9</w:t>
      </w:r>
      <w:r w:rsidR="005C5A80">
        <w:rPr>
          <w:b/>
          <w:sz w:val="22"/>
          <w:szCs w:val="22"/>
        </w:rPr>
        <w:t>3</w:t>
      </w:r>
      <w:r w:rsidRPr="00515943">
        <w:rPr>
          <w:b/>
          <w:sz w:val="22"/>
          <w:szCs w:val="22"/>
        </w:rPr>
        <w:t xml:space="preserve"> million for 2018 either certified or below the threshold</w:t>
      </w:r>
      <w:r w:rsidRPr="00515943">
        <w:rPr>
          <w:sz w:val="22"/>
          <w:szCs w:val="22"/>
        </w:rPr>
        <w:t xml:space="preserve"> (up to the date of this report), there was a </w:t>
      </w:r>
      <w:r w:rsidRPr="00515943">
        <w:rPr>
          <w:b/>
          <w:sz w:val="22"/>
          <w:szCs w:val="22"/>
        </w:rPr>
        <w:t>4</w:t>
      </w:r>
      <w:r w:rsidR="00515943" w:rsidRPr="00515943">
        <w:rPr>
          <w:b/>
          <w:sz w:val="22"/>
          <w:szCs w:val="22"/>
        </w:rPr>
        <w:t>3</w:t>
      </w:r>
      <w:r w:rsidRPr="00515943">
        <w:rPr>
          <w:b/>
          <w:sz w:val="22"/>
          <w:szCs w:val="22"/>
        </w:rPr>
        <w:t>-</w:t>
      </w:r>
      <w:r w:rsidR="00515943" w:rsidRPr="00515943">
        <w:rPr>
          <w:b/>
          <w:sz w:val="22"/>
          <w:szCs w:val="22"/>
        </w:rPr>
        <w:t>57</w:t>
      </w:r>
      <w:r w:rsidRPr="00515943">
        <w:rPr>
          <w:b/>
          <w:sz w:val="22"/>
          <w:szCs w:val="22"/>
        </w:rPr>
        <w:t>%</w:t>
      </w:r>
      <w:r w:rsidR="00DA2C07" w:rsidRPr="00515943">
        <w:rPr>
          <w:b/>
          <w:sz w:val="22"/>
          <w:szCs w:val="22"/>
        </w:rPr>
        <w:t xml:space="preserve"> </w:t>
      </w:r>
      <w:r w:rsidR="00DA2C07" w:rsidRPr="00515943">
        <w:rPr>
          <w:sz w:val="22"/>
          <w:szCs w:val="22"/>
        </w:rPr>
        <w:t xml:space="preserve">split between </w:t>
      </w:r>
      <w:r w:rsidR="008B0A65" w:rsidRPr="00515943">
        <w:rPr>
          <w:sz w:val="22"/>
          <w:szCs w:val="22"/>
        </w:rPr>
        <w:t xml:space="preserve">research and </w:t>
      </w:r>
      <w:r w:rsidR="00DA2C07" w:rsidRPr="00515943">
        <w:rPr>
          <w:sz w:val="22"/>
          <w:szCs w:val="22"/>
        </w:rPr>
        <w:t>industry submissions in te</w:t>
      </w:r>
      <w:r w:rsidR="00CB7169" w:rsidRPr="00515943">
        <w:rPr>
          <w:sz w:val="22"/>
          <w:szCs w:val="22"/>
        </w:rPr>
        <w:t>rms of number of entities</w:t>
      </w:r>
      <w:r w:rsidR="0046517E" w:rsidRPr="00515943">
        <w:rPr>
          <w:sz w:val="22"/>
          <w:szCs w:val="22"/>
        </w:rPr>
        <w:t xml:space="preserve"> (</w:t>
      </w:r>
      <w:r w:rsidR="006C02CD" w:rsidRPr="00515943">
        <w:rPr>
          <w:sz w:val="22"/>
          <w:szCs w:val="22"/>
        </w:rPr>
        <w:t xml:space="preserve">corresponding to a </w:t>
      </w:r>
      <w:r w:rsidRPr="00515943">
        <w:rPr>
          <w:b/>
          <w:sz w:val="22"/>
          <w:szCs w:val="22"/>
        </w:rPr>
        <w:t>30</w:t>
      </w:r>
      <w:r w:rsidR="00FB1245" w:rsidRPr="00515943">
        <w:rPr>
          <w:b/>
          <w:sz w:val="22"/>
          <w:szCs w:val="22"/>
        </w:rPr>
        <w:t>-</w:t>
      </w:r>
      <w:r w:rsidRPr="00515943">
        <w:rPr>
          <w:b/>
          <w:sz w:val="22"/>
          <w:szCs w:val="22"/>
        </w:rPr>
        <w:t>70</w:t>
      </w:r>
      <w:r w:rsidR="0046517E" w:rsidRPr="00515943">
        <w:rPr>
          <w:b/>
          <w:sz w:val="22"/>
          <w:szCs w:val="22"/>
        </w:rPr>
        <w:t>%</w:t>
      </w:r>
      <w:r w:rsidR="0046517E" w:rsidRPr="00515943">
        <w:rPr>
          <w:sz w:val="22"/>
          <w:szCs w:val="22"/>
        </w:rPr>
        <w:t xml:space="preserve"> split in terms of values)</w:t>
      </w:r>
      <w:r w:rsidRPr="00515943">
        <w:rPr>
          <w:sz w:val="22"/>
          <w:szCs w:val="22"/>
        </w:rPr>
        <w:t>. Clearly t</w:t>
      </w:r>
      <w:r w:rsidR="00CB7169" w:rsidRPr="00515943">
        <w:rPr>
          <w:sz w:val="22"/>
          <w:szCs w:val="22"/>
        </w:rPr>
        <w:t xml:space="preserve">he sector is manifesting </w:t>
      </w:r>
      <w:r w:rsidRPr="00515943">
        <w:rPr>
          <w:sz w:val="22"/>
          <w:szCs w:val="22"/>
        </w:rPr>
        <w:t>a visible i</w:t>
      </w:r>
      <w:r w:rsidR="00CB7169" w:rsidRPr="00515943">
        <w:rPr>
          <w:sz w:val="22"/>
          <w:szCs w:val="22"/>
        </w:rPr>
        <w:t>ntention to invest</w:t>
      </w:r>
      <w:r w:rsidR="00DA2C07" w:rsidRPr="00515943">
        <w:rPr>
          <w:sz w:val="22"/>
          <w:szCs w:val="22"/>
        </w:rPr>
        <w:t>, develop, and commercia</w:t>
      </w:r>
      <w:r w:rsidR="00B86391" w:rsidRPr="00515943">
        <w:rPr>
          <w:sz w:val="22"/>
          <w:szCs w:val="22"/>
        </w:rPr>
        <w:t>lize innovative technologies</w:t>
      </w:r>
      <w:r w:rsidRPr="00515943">
        <w:rPr>
          <w:sz w:val="22"/>
          <w:szCs w:val="22"/>
        </w:rPr>
        <w:t xml:space="preserve"> in both sides of research and </w:t>
      </w:r>
      <w:r w:rsidR="00950078">
        <w:rPr>
          <w:sz w:val="22"/>
          <w:szCs w:val="22"/>
        </w:rPr>
        <w:t>industry applications</w:t>
      </w:r>
      <w:r w:rsidRPr="00515943">
        <w:rPr>
          <w:sz w:val="22"/>
          <w:szCs w:val="22"/>
        </w:rPr>
        <w:t>.</w:t>
      </w:r>
    </w:p>
    <w:p w14:paraId="73A6AC7A" w14:textId="77777777" w:rsidR="00754939" w:rsidRDefault="00754939" w:rsidP="00B86391">
      <w:pPr>
        <w:pStyle w:val="BodyText"/>
        <w:ind w:left="-142" w:right="141"/>
        <w:jc w:val="both"/>
        <w:rPr>
          <w:sz w:val="22"/>
          <w:szCs w:val="22"/>
        </w:rPr>
      </w:pPr>
    </w:p>
    <w:tbl>
      <w:tblPr>
        <w:tblStyle w:val="TableGrid"/>
        <w:tblW w:w="737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372"/>
      </w:tblGrid>
      <w:tr w:rsidR="003319F7" w14:paraId="49F5B921" w14:textId="77777777" w:rsidTr="0055145E">
        <w:tc>
          <w:tcPr>
            <w:tcW w:w="7372" w:type="dxa"/>
            <w:shd w:val="clear" w:color="auto" w:fill="D9D9D9" w:themeFill="background1" w:themeFillShade="D9"/>
          </w:tcPr>
          <w:p w14:paraId="16C97762" w14:textId="7D9CC493" w:rsidR="003319F7" w:rsidRPr="003319F7" w:rsidRDefault="003319F7" w:rsidP="00B86391">
            <w:pPr>
              <w:pStyle w:val="BodyText"/>
              <w:ind w:right="141"/>
              <w:jc w:val="both"/>
              <w:rPr>
                <w:b/>
              </w:rPr>
            </w:pPr>
            <w:r w:rsidRPr="003319F7">
              <w:rPr>
                <w:b/>
              </w:rPr>
              <w:t>Geographical Distribution</w:t>
            </w:r>
          </w:p>
        </w:tc>
      </w:tr>
    </w:tbl>
    <w:p w14:paraId="35844240" w14:textId="77777777" w:rsidR="00D66697" w:rsidRDefault="00D66697" w:rsidP="00B86391">
      <w:pPr>
        <w:pStyle w:val="BodyText"/>
        <w:ind w:left="-142"/>
        <w:jc w:val="both"/>
        <w:rPr>
          <w:sz w:val="22"/>
          <w:szCs w:val="22"/>
        </w:rPr>
      </w:pPr>
    </w:p>
    <w:p w14:paraId="354BC863" w14:textId="3F274313" w:rsidR="006974D4" w:rsidRDefault="00D66697" w:rsidP="00B86391">
      <w:pPr>
        <w:pStyle w:val="BodyTex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There were</w:t>
      </w:r>
      <w:r w:rsidR="00DA2C07" w:rsidRPr="00CB7169">
        <w:rPr>
          <w:sz w:val="22"/>
          <w:szCs w:val="22"/>
        </w:rPr>
        <w:t xml:space="preserve"> </w:t>
      </w:r>
      <w:r w:rsidR="004D250F">
        <w:rPr>
          <w:b/>
          <w:sz w:val="22"/>
          <w:szCs w:val="22"/>
        </w:rPr>
        <w:t>15</w:t>
      </w:r>
      <w:r w:rsidR="00DA2C07" w:rsidRPr="00211E87">
        <w:rPr>
          <w:sz w:val="22"/>
          <w:szCs w:val="22"/>
        </w:rPr>
        <w:t xml:space="preserve"> </w:t>
      </w:r>
      <w:r w:rsidR="00DA2C07" w:rsidRPr="00CB7169">
        <w:rPr>
          <w:sz w:val="22"/>
          <w:szCs w:val="22"/>
        </w:rPr>
        <w:t xml:space="preserve">different EU Member States </w:t>
      </w:r>
      <w:r w:rsidR="00422EC7" w:rsidRPr="00CB7169">
        <w:rPr>
          <w:sz w:val="22"/>
          <w:szCs w:val="22"/>
        </w:rPr>
        <w:t>and Associated Countr</w:t>
      </w:r>
      <w:r w:rsidR="006B015E" w:rsidRPr="00CB7169">
        <w:rPr>
          <w:sz w:val="22"/>
          <w:szCs w:val="22"/>
        </w:rPr>
        <w:t>ies</w:t>
      </w:r>
      <w:r w:rsidR="00422EC7" w:rsidRPr="00CB7169">
        <w:rPr>
          <w:sz w:val="22"/>
          <w:szCs w:val="22"/>
        </w:rPr>
        <w:t xml:space="preserve"> </w:t>
      </w:r>
      <w:r w:rsidR="00DA2C07" w:rsidRPr="00CB7169">
        <w:rPr>
          <w:sz w:val="22"/>
          <w:szCs w:val="22"/>
        </w:rPr>
        <w:t xml:space="preserve">(see graph below), with organizations from </w:t>
      </w:r>
      <w:r w:rsidR="004D250F">
        <w:rPr>
          <w:sz w:val="22"/>
          <w:szCs w:val="22"/>
        </w:rPr>
        <w:t>France, Germany and Denmark p</w:t>
      </w:r>
      <w:r w:rsidR="00DA2C07" w:rsidRPr="00CB7169">
        <w:rPr>
          <w:sz w:val="22"/>
          <w:szCs w:val="22"/>
        </w:rPr>
        <w:t>roviding the most sizable investments</w:t>
      </w:r>
      <w:r>
        <w:rPr>
          <w:sz w:val="22"/>
          <w:szCs w:val="22"/>
        </w:rPr>
        <w:t>. Graph shows also p</w:t>
      </w:r>
      <w:r w:rsidR="00142570">
        <w:rPr>
          <w:sz w:val="22"/>
          <w:szCs w:val="22"/>
        </w:rPr>
        <w:t>articipation</w:t>
      </w:r>
      <w:r>
        <w:rPr>
          <w:sz w:val="22"/>
          <w:szCs w:val="22"/>
        </w:rPr>
        <w:t>s</w:t>
      </w:r>
      <w:r w:rsidR="00142570">
        <w:rPr>
          <w:sz w:val="22"/>
          <w:szCs w:val="22"/>
        </w:rPr>
        <w:t xml:space="preserve"> from </w:t>
      </w:r>
      <w:r w:rsidR="00142570" w:rsidRPr="004D250F">
        <w:rPr>
          <w:sz w:val="22"/>
          <w:szCs w:val="22"/>
        </w:rPr>
        <w:t>C</w:t>
      </w:r>
      <w:r w:rsidR="006974D4" w:rsidRPr="004D250F">
        <w:rPr>
          <w:sz w:val="22"/>
          <w:szCs w:val="22"/>
        </w:rPr>
        <w:t>entral and Eastern</w:t>
      </w:r>
      <w:r>
        <w:rPr>
          <w:sz w:val="22"/>
          <w:szCs w:val="22"/>
        </w:rPr>
        <w:t xml:space="preserve"> Europe </w:t>
      </w:r>
      <w:r w:rsidR="006974D4" w:rsidRPr="004D250F">
        <w:rPr>
          <w:sz w:val="22"/>
          <w:szCs w:val="22"/>
        </w:rPr>
        <w:t>as well as South</w:t>
      </w:r>
      <w:r>
        <w:rPr>
          <w:sz w:val="22"/>
          <w:szCs w:val="22"/>
        </w:rPr>
        <w:t>ern European c</w:t>
      </w:r>
      <w:r w:rsidR="004A26A7" w:rsidRPr="004D250F">
        <w:rPr>
          <w:sz w:val="22"/>
          <w:szCs w:val="22"/>
        </w:rPr>
        <w:t>ountries</w:t>
      </w:r>
      <w:r w:rsidR="00505D5F" w:rsidRPr="004D250F">
        <w:rPr>
          <w:sz w:val="22"/>
          <w:szCs w:val="22"/>
        </w:rPr>
        <w:t>.</w:t>
      </w:r>
    </w:p>
    <w:p w14:paraId="5E34E520" w14:textId="52F34F96" w:rsidR="00950078" w:rsidRDefault="00950078" w:rsidP="00B86391">
      <w:pPr>
        <w:pStyle w:val="BodyText"/>
        <w:ind w:left="-142"/>
        <w:jc w:val="both"/>
        <w:rPr>
          <w:sz w:val="22"/>
          <w:szCs w:val="22"/>
        </w:rPr>
      </w:pPr>
    </w:p>
    <w:p w14:paraId="5B40FC9D" w14:textId="35574167" w:rsidR="00950078" w:rsidRDefault="00950078" w:rsidP="00B86391">
      <w:pPr>
        <w:pStyle w:val="BodyText"/>
        <w:ind w:left="-142"/>
        <w:jc w:val="both"/>
        <w:rPr>
          <w:sz w:val="22"/>
          <w:szCs w:val="22"/>
        </w:rPr>
      </w:pPr>
      <w:r>
        <w:rPr>
          <w:noProof/>
          <w:lang w:eastAsia="en-GB"/>
        </w:rPr>
        <w:drawing>
          <wp:inline distT="0" distB="0" distL="0" distR="0" wp14:anchorId="6F74C9EE" wp14:editId="2C3F9C82">
            <wp:extent cx="4724400" cy="2381250"/>
            <wp:effectExtent l="0" t="0" r="0" b="0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0EF66964-86B3-4AA8-90C2-9F41A3F2A88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tbl>
      <w:tblPr>
        <w:tblStyle w:val="TableGrid"/>
        <w:tblW w:w="751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3"/>
      </w:tblGrid>
      <w:tr w:rsidR="00EB7E20" w14:paraId="6A9AA2B9" w14:textId="77777777" w:rsidTr="0055145E">
        <w:tc>
          <w:tcPr>
            <w:tcW w:w="7513" w:type="dxa"/>
            <w:shd w:val="clear" w:color="auto" w:fill="D9D9D9" w:themeFill="background1" w:themeFillShade="D9"/>
          </w:tcPr>
          <w:p w14:paraId="0D03ECA8" w14:textId="54A829E8" w:rsidR="00EB7E20" w:rsidRPr="00EB7E20" w:rsidRDefault="00B70B86" w:rsidP="00B86391">
            <w:pPr>
              <w:pStyle w:val="BodyText"/>
              <w:jc w:val="both"/>
              <w:rPr>
                <w:b/>
              </w:rPr>
            </w:pPr>
            <w:r>
              <w:rPr>
                <w:noProof/>
                <w:sz w:val="22"/>
                <w:szCs w:val="22"/>
                <w:lang w:eastAsia="en-GB"/>
              </w:rPr>
              <w:t xml:space="preserve"> </w:t>
            </w:r>
            <w:r w:rsidR="00EB7E20" w:rsidRPr="00EB7E20">
              <w:rPr>
                <w:b/>
              </w:rPr>
              <w:t>SME Participations</w:t>
            </w:r>
            <w:r w:rsidR="0022661C">
              <w:rPr>
                <w:b/>
              </w:rPr>
              <w:t xml:space="preserve"> of Industry Members</w:t>
            </w:r>
          </w:p>
        </w:tc>
      </w:tr>
    </w:tbl>
    <w:p w14:paraId="159338BB" w14:textId="77777777" w:rsidR="00754939" w:rsidRDefault="00754939" w:rsidP="00DA31D0">
      <w:pPr>
        <w:pStyle w:val="BodyText"/>
        <w:ind w:left="-142"/>
        <w:jc w:val="both"/>
        <w:rPr>
          <w:sz w:val="22"/>
          <w:szCs w:val="22"/>
        </w:rPr>
      </w:pPr>
    </w:p>
    <w:p w14:paraId="44FD5623" w14:textId="20E0E74B" w:rsidR="00EB7E20" w:rsidRPr="00211E87" w:rsidRDefault="00EB7E20" w:rsidP="00DA31D0">
      <w:pPr>
        <w:pStyle w:val="BodyText"/>
        <w:ind w:left="-142"/>
        <w:jc w:val="both"/>
        <w:rPr>
          <w:sz w:val="22"/>
          <w:szCs w:val="22"/>
        </w:rPr>
      </w:pPr>
      <w:r w:rsidRPr="00211E87">
        <w:rPr>
          <w:sz w:val="22"/>
          <w:szCs w:val="22"/>
        </w:rPr>
        <w:t xml:space="preserve">For Industry members, we observed </w:t>
      </w:r>
      <w:r w:rsidR="00BD4B7B" w:rsidRPr="00211E87">
        <w:rPr>
          <w:sz w:val="22"/>
          <w:szCs w:val="22"/>
        </w:rPr>
        <w:t xml:space="preserve">a </w:t>
      </w:r>
      <w:r w:rsidRPr="00211E87">
        <w:rPr>
          <w:sz w:val="22"/>
          <w:szCs w:val="22"/>
        </w:rPr>
        <w:t xml:space="preserve">high rate of </w:t>
      </w:r>
      <w:r w:rsidRPr="000C0F49">
        <w:rPr>
          <w:b/>
          <w:sz w:val="22"/>
          <w:szCs w:val="22"/>
        </w:rPr>
        <w:t>SME participations</w:t>
      </w:r>
      <w:r w:rsidR="007F54AC" w:rsidRPr="00211E87">
        <w:rPr>
          <w:sz w:val="22"/>
          <w:szCs w:val="22"/>
        </w:rPr>
        <w:t xml:space="preserve"> in 201</w:t>
      </w:r>
      <w:r w:rsidR="00FB1245">
        <w:rPr>
          <w:sz w:val="22"/>
          <w:szCs w:val="22"/>
        </w:rPr>
        <w:t>8</w:t>
      </w:r>
      <w:r w:rsidRPr="00211E87">
        <w:rPr>
          <w:sz w:val="22"/>
          <w:szCs w:val="22"/>
        </w:rPr>
        <w:t xml:space="preserve">, </w:t>
      </w:r>
      <w:r w:rsidR="00BD4B7B" w:rsidRPr="000C0F49">
        <w:rPr>
          <w:b/>
          <w:sz w:val="22"/>
          <w:szCs w:val="22"/>
        </w:rPr>
        <w:t xml:space="preserve">representing </w:t>
      </w:r>
      <w:r w:rsidR="000C0F49" w:rsidRPr="000C0F49">
        <w:rPr>
          <w:b/>
          <w:sz w:val="22"/>
          <w:szCs w:val="22"/>
        </w:rPr>
        <w:t>majority</w:t>
      </w:r>
      <w:r w:rsidR="00BD4B7B" w:rsidRPr="000C0F49">
        <w:rPr>
          <w:b/>
          <w:sz w:val="22"/>
          <w:szCs w:val="22"/>
        </w:rPr>
        <w:t xml:space="preserve"> of the overall </w:t>
      </w:r>
      <w:r w:rsidR="000C0F49" w:rsidRPr="000C0F49">
        <w:rPr>
          <w:b/>
          <w:sz w:val="22"/>
          <w:szCs w:val="22"/>
        </w:rPr>
        <w:t>i</w:t>
      </w:r>
      <w:r w:rsidR="00BD4B7B" w:rsidRPr="000C0F49">
        <w:rPr>
          <w:b/>
          <w:sz w:val="22"/>
          <w:szCs w:val="22"/>
        </w:rPr>
        <w:t xml:space="preserve">ndustry </w:t>
      </w:r>
      <w:r w:rsidR="000C0F49" w:rsidRPr="000C0F49">
        <w:rPr>
          <w:b/>
          <w:sz w:val="22"/>
          <w:szCs w:val="22"/>
        </w:rPr>
        <w:t>investments</w:t>
      </w:r>
      <w:r w:rsidR="00BD4B7B" w:rsidRPr="00211E87">
        <w:rPr>
          <w:sz w:val="22"/>
          <w:szCs w:val="22"/>
        </w:rPr>
        <w:t xml:space="preserve"> </w:t>
      </w:r>
      <w:r w:rsidR="000C0F49">
        <w:rPr>
          <w:sz w:val="22"/>
          <w:szCs w:val="22"/>
        </w:rPr>
        <w:t xml:space="preserve">in terms of values </w:t>
      </w:r>
      <w:r w:rsidR="00BD4B7B" w:rsidRPr="00211E87">
        <w:rPr>
          <w:sz w:val="22"/>
          <w:szCs w:val="22"/>
        </w:rPr>
        <w:t xml:space="preserve">and </w:t>
      </w:r>
      <w:r w:rsidR="0022661C">
        <w:rPr>
          <w:b/>
          <w:sz w:val="22"/>
          <w:szCs w:val="22"/>
        </w:rPr>
        <w:t>similar</w:t>
      </w:r>
      <w:r w:rsidR="00851479" w:rsidRPr="00211E87">
        <w:rPr>
          <w:b/>
          <w:sz w:val="22"/>
          <w:szCs w:val="22"/>
        </w:rPr>
        <w:t xml:space="preserve"> repartition</w:t>
      </w:r>
      <w:r w:rsidR="00BD4B7B" w:rsidRPr="00211E87">
        <w:rPr>
          <w:sz w:val="22"/>
          <w:szCs w:val="22"/>
        </w:rPr>
        <w:t xml:space="preserve"> in terms of number of organizations (see table below). </w:t>
      </w:r>
    </w:p>
    <w:p w14:paraId="5EF652DD" w14:textId="34C57275" w:rsidR="00EB7E20" w:rsidRPr="00CB7169" w:rsidRDefault="00EB7E20" w:rsidP="003B0B22">
      <w:pPr>
        <w:pStyle w:val="BodyText"/>
        <w:ind w:left="-142"/>
        <w:jc w:val="both"/>
        <w:rPr>
          <w:sz w:val="22"/>
          <w:szCs w:val="22"/>
        </w:rPr>
      </w:pPr>
    </w:p>
    <w:tbl>
      <w:tblPr>
        <w:tblW w:w="72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1985"/>
        <w:gridCol w:w="2575"/>
      </w:tblGrid>
      <w:tr w:rsidR="00DA2C07" w:rsidRPr="00CB7169" w14:paraId="137A31CD" w14:textId="77777777" w:rsidTr="009A4C40">
        <w:trPr>
          <w:trHeight w:val="315"/>
          <w:jc w:val="center"/>
        </w:trPr>
        <w:tc>
          <w:tcPr>
            <w:tcW w:w="7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2F75B5"/>
            <w:noWrap/>
            <w:vAlign w:val="center"/>
            <w:hideMark/>
          </w:tcPr>
          <w:p w14:paraId="0A239E3D" w14:textId="0DE24E19" w:rsidR="00DA2C07" w:rsidRPr="00CB7169" w:rsidRDefault="00DA2C07" w:rsidP="00B86391">
            <w:pPr>
              <w:widowControl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CB7169">
              <w:rPr>
                <w:rFonts w:eastAsia="Times New Roman"/>
                <w:b/>
                <w:bCs/>
                <w:color w:val="FFFFFF"/>
                <w:lang w:eastAsia="de-DE"/>
              </w:rPr>
              <w:t>Size of Company of Industry Members</w:t>
            </w:r>
            <w:r w:rsidR="007F54AC">
              <w:rPr>
                <w:rFonts w:eastAsia="Times New Roman"/>
                <w:b/>
                <w:bCs/>
                <w:color w:val="FFFFFF"/>
                <w:lang w:eastAsia="de-DE"/>
              </w:rPr>
              <w:t>: January –</w:t>
            </w:r>
            <w:r w:rsidR="000C0F49">
              <w:rPr>
                <w:rFonts w:eastAsia="Times New Roman"/>
                <w:b/>
                <w:bCs/>
                <w:color w:val="FFFFFF"/>
                <w:lang w:eastAsia="de-DE"/>
              </w:rPr>
              <w:t xml:space="preserve"> </w:t>
            </w:r>
            <w:r w:rsidR="007F54AC">
              <w:rPr>
                <w:rFonts w:eastAsia="Times New Roman"/>
                <w:b/>
                <w:bCs/>
                <w:color w:val="FFFFFF"/>
                <w:lang w:eastAsia="de-DE"/>
              </w:rPr>
              <w:t>December 201</w:t>
            </w:r>
            <w:r w:rsidR="00FB1245">
              <w:rPr>
                <w:rFonts w:eastAsia="Times New Roman"/>
                <w:b/>
                <w:bCs/>
                <w:color w:val="FFFFFF"/>
                <w:lang w:eastAsia="de-DE"/>
              </w:rPr>
              <w:t>8</w:t>
            </w:r>
          </w:p>
        </w:tc>
      </w:tr>
      <w:tr w:rsidR="00DA2C07" w:rsidRPr="00CB7169" w14:paraId="6C88499E" w14:textId="77777777" w:rsidTr="009A4C40">
        <w:trPr>
          <w:trHeight w:val="537"/>
          <w:jc w:val="center"/>
        </w:trPr>
        <w:tc>
          <w:tcPr>
            <w:tcW w:w="269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818181"/>
            <w:noWrap/>
            <w:vAlign w:val="center"/>
            <w:hideMark/>
          </w:tcPr>
          <w:p w14:paraId="51D53C52" w14:textId="77777777" w:rsidR="00DA2C07" w:rsidRPr="000C0F49" w:rsidRDefault="00DA2C07" w:rsidP="00B86391">
            <w:pPr>
              <w:widowControl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0C0F49">
              <w:rPr>
                <w:rFonts w:eastAsia="Times New Roman"/>
                <w:b/>
                <w:bCs/>
                <w:color w:val="FFFFFF"/>
                <w:lang w:eastAsia="de-DE"/>
              </w:rPr>
              <w:t>Type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7C77EE20" w14:textId="1F809C62" w:rsidR="00DA2C07" w:rsidRPr="000C0F49" w:rsidRDefault="009A4C40" w:rsidP="009A4C40">
            <w:pPr>
              <w:widowControl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0C0F49">
              <w:rPr>
                <w:rFonts w:eastAsia="Times New Roman"/>
                <w:b/>
                <w:bCs/>
                <w:color w:val="FFFFFF"/>
                <w:lang w:eastAsia="de-DE"/>
              </w:rPr>
              <w:t xml:space="preserve"># of </w:t>
            </w:r>
            <w:r w:rsidR="00DA2C07" w:rsidRPr="000C0F49">
              <w:rPr>
                <w:rFonts w:eastAsia="Times New Roman"/>
                <w:b/>
                <w:bCs/>
                <w:color w:val="FFFFFF"/>
                <w:lang w:eastAsia="de-DE"/>
              </w:rPr>
              <w:t>members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818181"/>
            <w:vAlign w:val="center"/>
            <w:hideMark/>
          </w:tcPr>
          <w:p w14:paraId="1FF747C0" w14:textId="3BF1AC58" w:rsidR="00DA2C07" w:rsidRPr="000C0F49" w:rsidRDefault="009A4C40" w:rsidP="00B86391">
            <w:pPr>
              <w:widowControl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0C0F49">
              <w:rPr>
                <w:rFonts w:eastAsia="Times New Roman"/>
                <w:b/>
                <w:bCs/>
                <w:color w:val="FFFFFF"/>
                <w:lang w:eastAsia="de-DE"/>
              </w:rPr>
              <w:t>Value of IKAA (M€)</w:t>
            </w:r>
          </w:p>
        </w:tc>
      </w:tr>
      <w:tr w:rsidR="00DA2C07" w:rsidRPr="00CB7169" w14:paraId="5D10BE66" w14:textId="77777777" w:rsidTr="009A4C40">
        <w:trPr>
          <w:trHeight w:val="300"/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437D2D6E" w14:textId="77777777" w:rsidR="00DA2C07" w:rsidRPr="000C0F49" w:rsidRDefault="00DA2C07" w:rsidP="00B86391">
            <w:pPr>
              <w:widowControl/>
              <w:rPr>
                <w:rFonts w:eastAsia="Times New Roman"/>
                <w:color w:val="000000"/>
                <w:lang w:eastAsia="de-DE"/>
              </w:rPr>
            </w:pPr>
            <w:r w:rsidRPr="000C0F49">
              <w:rPr>
                <w:rFonts w:eastAsia="Times New Roman"/>
                <w:color w:val="000000"/>
                <w:lang w:eastAsia="de-DE"/>
              </w:rPr>
              <w:t>Large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14:paraId="3444B8B1" w14:textId="7D43E163" w:rsidR="00DA2C07" w:rsidRPr="000C0F49" w:rsidRDefault="000C0F49" w:rsidP="009A4C4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 w:rsidRPr="000C0F49">
              <w:rPr>
                <w:rFonts w:eastAsia="Times New Roman"/>
                <w:b/>
                <w:lang w:eastAsia="de-DE"/>
              </w:rPr>
              <w:t>14</w:t>
            </w:r>
          </w:p>
        </w:tc>
        <w:tc>
          <w:tcPr>
            <w:tcW w:w="2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</w:tcPr>
          <w:p w14:paraId="4B6E2F13" w14:textId="0B145945" w:rsidR="00DA2C07" w:rsidRPr="000C0F49" w:rsidRDefault="000C0F49" w:rsidP="005C5A8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31</w:t>
            </w:r>
          </w:p>
        </w:tc>
      </w:tr>
      <w:tr w:rsidR="00DA2C07" w:rsidRPr="00CB7169" w14:paraId="37C2BEA7" w14:textId="77777777" w:rsidTr="009A4C40">
        <w:trPr>
          <w:trHeight w:val="300"/>
          <w:jc w:val="center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665285E" w14:textId="77777777" w:rsidR="00DA2C07" w:rsidRPr="000C0F49" w:rsidRDefault="00DA2C07" w:rsidP="00B86391">
            <w:pPr>
              <w:widowControl/>
              <w:rPr>
                <w:rFonts w:eastAsia="Times New Roman"/>
                <w:color w:val="000000"/>
                <w:lang w:eastAsia="de-DE"/>
              </w:rPr>
            </w:pPr>
            <w:r w:rsidRPr="000C0F49">
              <w:rPr>
                <w:rFonts w:eastAsia="Times New Roman"/>
                <w:color w:val="000000"/>
                <w:lang w:eastAsia="de-DE"/>
              </w:rPr>
              <w:t>SME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</w:tcPr>
          <w:p w14:paraId="51CA8BC5" w14:textId="54DC19C9" w:rsidR="00DA2C07" w:rsidRPr="000C0F49" w:rsidRDefault="000C0F49" w:rsidP="009A4C4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 w:rsidRPr="000C0F49">
              <w:rPr>
                <w:rFonts w:eastAsia="Times New Roman"/>
                <w:b/>
                <w:lang w:eastAsia="de-DE"/>
              </w:rPr>
              <w:t>10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</w:tcPr>
          <w:p w14:paraId="6260D470" w14:textId="40967CFD" w:rsidR="00DA2C07" w:rsidRPr="000C0F49" w:rsidRDefault="000C0F49" w:rsidP="005C5A80">
            <w:pPr>
              <w:widowControl/>
              <w:jc w:val="center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b/>
                <w:lang w:eastAsia="de-DE"/>
              </w:rPr>
              <w:t>34</w:t>
            </w:r>
          </w:p>
        </w:tc>
      </w:tr>
      <w:tr w:rsidR="00DA2C07" w:rsidRPr="00CB7169" w14:paraId="09ED78BC" w14:textId="77777777" w:rsidTr="009A4C40">
        <w:trPr>
          <w:trHeight w:val="315"/>
          <w:jc w:val="center"/>
        </w:trPr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0AD47"/>
            <w:noWrap/>
            <w:vAlign w:val="center"/>
            <w:hideMark/>
          </w:tcPr>
          <w:p w14:paraId="4518F112" w14:textId="77777777" w:rsidR="00DA2C07" w:rsidRPr="000C0F49" w:rsidRDefault="00DA2C07" w:rsidP="00B86391">
            <w:pPr>
              <w:widowControl/>
              <w:rPr>
                <w:rFonts w:eastAsia="Times New Roman"/>
                <w:b/>
                <w:bCs/>
                <w:color w:val="FFFFFF"/>
                <w:lang w:eastAsia="de-DE"/>
              </w:rPr>
            </w:pPr>
            <w:r w:rsidRPr="000C0F49">
              <w:rPr>
                <w:rFonts w:eastAsia="Times New Roman"/>
                <w:b/>
                <w:bCs/>
                <w:color w:val="FFFFFF"/>
                <w:lang w:eastAsia="de-DE"/>
              </w:rPr>
              <w:t>Total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70AD47"/>
            <w:noWrap/>
            <w:vAlign w:val="center"/>
          </w:tcPr>
          <w:p w14:paraId="68E528A9" w14:textId="26B224BC" w:rsidR="00DA2C07" w:rsidRPr="000C0F49" w:rsidRDefault="000C0F49" w:rsidP="009A4C40">
            <w:pPr>
              <w:widowControl/>
              <w:jc w:val="center"/>
              <w:rPr>
                <w:rFonts w:eastAsia="Times New Roman"/>
                <w:b/>
                <w:bCs/>
                <w:color w:val="FFFFFF" w:themeColor="background1"/>
                <w:lang w:eastAsia="de-DE"/>
              </w:rPr>
            </w:pPr>
            <w:r w:rsidRPr="000C0F49"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24</w:t>
            </w:r>
          </w:p>
        </w:tc>
        <w:tc>
          <w:tcPr>
            <w:tcW w:w="2575" w:type="dxa"/>
            <w:tcBorders>
              <w:top w:val="single" w:sz="4" w:space="0" w:color="5B9BD5"/>
              <w:left w:val="single" w:sz="4" w:space="0" w:color="5B9BD5"/>
              <w:bottom w:val="single" w:sz="4" w:space="0" w:color="auto"/>
              <w:right w:val="single" w:sz="4" w:space="0" w:color="auto"/>
            </w:tcBorders>
            <w:shd w:val="clear" w:color="000000" w:fill="70AD47"/>
            <w:noWrap/>
            <w:vAlign w:val="bottom"/>
          </w:tcPr>
          <w:p w14:paraId="3A55D587" w14:textId="7F0E5E9F" w:rsidR="004A0021" w:rsidRPr="000C0F49" w:rsidRDefault="000C0F49" w:rsidP="005C5A80">
            <w:pPr>
              <w:widowControl/>
              <w:jc w:val="center"/>
              <w:rPr>
                <w:rFonts w:eastAsia="Times New Roman"/>
                <w:b/>
                <w:bCs/>
                <w:color w:val="FFFFFF" w:themeColor="background1"/>
                <w:lang w:eastAsia="de-DE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eastAsia="de-DE"/>
              </w:rPr>
              <w:t>65</w:t>
            </w:r>
          </w:p>
        </w:tc>
      </w:tr>
    </w:tbl>
    <w:p w14:paraId="0EBF7E20" w14:textId="7ADD99EC" w:rsidR="00B3662F" w:rsidRPr="00826CEC" w:rsidRDefault="00B3662F" w:rsidP="00CB7169">
      <w:pPr>
        <w:pStyle w:val="BodyText"/>
        <w:jc w:val="both"/>
        <w:rPr>
          <w:sz w:val="12"/>
          <w:szCs w:val="12"/>
        </w:rPr>
      </w:pPr>
    </w:p>
    <w:p w14:paraId="76B4CF4E" w14:textId="2E259229" w:rsidR="00BD4B7B" w:rsidRDefault="00BD4B7B" w:rsidP="00BD4B7B">
      <w:pPr>
        <w:pStyle w:val="BodyTex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CB7169">
        <w:rPr>
          <w:sz w:val="22"/>
          <w:szCs w:val="22"/>
        </w:rPr>
        <w:t>ith</w:t>
      </w:r>
      <w:r w:rsidR="00FB1245">
        <w:rPr>
          <w:sz w:val="22"/>
          <w:szCs w:val="22"/>
        </w:rPr>
        <w:t xml:space="preserve"> </w:t>
      </w:r>
      <w:r w:rsidR="000C0F49">
        <w:rPr>
          <w:b/>
          <w:bCs/>
          <w:sz w:val="22"/>
          <w:szCs w:val="22"/>
        </w:rPr>
        <w:t>10</w:t>
      </w:r>
      <w:r w:rsidRPr="00DB064B">
        <w:rPr>
          <w:sz w:val="22"/>
          <w:szCs w:val="22"/>
        </w:rPr>
        <w:t xml:space="preserve"> contributing SMEs </w:t>
      </w:r>
      <w:r w:rsidRPr="00CB7169">
        <w:rPr>
          <w:sz w:val="22"/>
          <w:szCs w:val="22"/>
        </w:rPr>
        <w:t xml:space="preserve">of which </w:t>
      </w:r>
      <w:r w:rsidR="00961E1A">
        <w:rPr>
          <w:sz w:val="22"/>
          <w:szCs w:val="22"/>
        </w:rPr>
        <w:t xml:space="preserve">some </w:t>
      </w:r>
      <w:r w:rsidRPr="00CB7169">
        <w:rPr>
          <w:sz w:val="22"/>
          <w:szCs w:val="22"/>
        </w:rPr>
        <w:t>are start-ups th</w:t>
      </w:r>
      <w:r>
        <w:rPr>
          <w:sz w:val="22"/>
          <w:szCs w:val="22"/>
        </w:rPr>
        <w:t>e</w:t>
      </w:r>
      <w:r w:rsidRPr="00CB7169">
        <w:rPr>
          <w:sz w:val="22"/>
          <w:szCs w:val="22"/>
        </w:rPr>
        <w:t xml:space="preserve"> IKAA</w:t>
      </w:r>
      <w:r>
        <w:rPr>
          <w:sz w:val="22"/>
          <w:szCs w:val="22"/>
        </w:rPr>
        <w:t xml:space="preserve"> final</w:t>
      </w:r>
      <w:r w:rsidRPr="00CB7169">
        <w:rPr>
          <w:sz w:val="22"/>
          <w:szCs w:val="22"/>
        </w:rPr>
        <w:t xml:space="preserve"> report shows that the FCH 2 JU is clearly spurring innovation, economic growth and job creation in the European Union.</w:t>
      </w:r>
    </w:p>
    <w:p w14:paraId="0ACDF5AF" w14:textId="77777777" w:rsidR="00754939" w:rsidRDefault="00754939" w:rsidP="00BD4B7B">
      <w:pPr>
        <w:pStyle w:val="BodyText"/>
        <w:ind w:left="-142"/>
        <w:jc w:val="both"/>
        <w:rPr>
          <w:sz w:val="22"/>
          <w:szCs w:val="22"/>
        </w:rPr>
      </w:pPr>
    </w:p>
    <w:tbl>
      <w:tblPr>
        <w:tblStyle w:val="TableGrid"/>
        <w:tblW w:w="7479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479"/>
      </w:tblGrid>
      <w:tr w:rsidR="00B3662F" w:rsidRPr="00B3662F" w14:paraId="00936C1B" w14:textId="77777777" w:rsidTr="0055145E">
        <w:tc>
          <w:tcPr>
            <w:tcW w:w="7479" w:type="dxa"/>
            <w:shd w:val="clear" w:color="auto" w:fill="D9D9D9" w:themeFill="background1" w:themeFillShade="D9"/>
          </w:tcPr>
          <w:p w14:paraId="518BF06D" w14:textId="31E9226C" w:rsidR="00B3662F" w:rsidRPr="00B3662F" w:rsidRDefault="003319F7" w:rsidP="00A87725">
            <w:pPr>
              <w:pStyle w:val="BodyText"/>
              <w:jc w:val="both"/>
              <w:rPr>
                <w:b/>
              </w:rPr>
            </w:pPr>
            <w:r>
              <w:rPr>
                <w:b/>
              </w:rPr>
              <w:t>Application A</w:t>
            </w:r>
            <w:r w:rsidR="00B3662F" w:rsidRPr="00B3662F">
              <w:rPr>
                <w:b/>
              </w:rPr>
              <w:t>reas</w:t>
            </w:r>
          </w:p>
        </w:tc>
      </w:tr>
    </w:tbl>
    <w:p w14:paraId="2B2259AD" w14:textId="77777777" w:rsidR="00754939" w:rsidRPr="00826CEC" w:rsidRDefault="00754939" w:rsidP="00A87725">
      <w:pPr>
        <w:pStyle w:val="BodyText"/>
        <w:ind w:left="-142"/>
        <w:jc w:val="both"/>
        <w:rPr>
          <w:sz w:val="12"/>
          <w:szCs w:val="12"/>
        </w:rPr>
      </w:pPr>
    </w:p>
    <w:p w14:paraId="45A49B6F" w14:textId="2FEBDBD7" w:rsidR="00A87725" w:rsidRDefault="00A87725" w:rsidP="00A87725">
      <w:pPr>
        <w:pStyle w:val="BodyText"/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15D44" w:rsidRPr="00D15D44">
        <w:rPr>
          <w:sz w:val="22"/>
          <w:szCs w:val="22"/>
        </w:rPr>
        <w:t xml:space="preserve">he activities undertaken under the </w:t>
      </w:r>
      <w:r w:rsidR="00D15D44" w:rsidRPr="00A87725">
        <w:rPr>
          <w:b/>
          <w:sz w:val="22"/>
          <w:szCs w:val="22"/>
        </w:rPr>
        <w:t>Energy Pilla</w:t>
      </w:r>
      <w:r w:rsidR="00D15D44" w:rsidRPr="00DB064B">
        <w:rPr>
          <w:b/>
          <w:sz w:val="22"/>
          <w:szCs w:val="22"/>
        </w:rPr>
        <w:t>r</w:t>
      </w:r>
      <w:r w:rsidR="00D15D44" w:rsidRPr="00DB064B">
        <w:rPr>
          <w:sz w:val="22"/>
          <w:szCs w:val="22"/>
        </w:rPr>
        <w:t xml:space="preserve"> </w:t>
      </w:r>
      <w:r w:rsidRPr="00DB064B">
        <w:rPr>
          <w:sz w:val="22"/>
          <w:szCs w:val="22"/>
        </w:rPr>
        <w:t>(</w:t>
      </w:r>
      <w:r w:rsidR="000A60F8">
        <w:rPr>
          <w:b/>
          <w:sz w:val="22"/>
          <w:szCs w:val="22"/>
        </w:rPr>
        <w:t>76</w:t>
      </w:r>
      <w:r w:rsidR="00F74FE1" w:rsidRPr="00DB064B">
        <w:rPr>
          <w:sz w:val="22"/>
          <w:szCs w:val="22"/>
        </w:rPr>
        <w:t xml:space="preserve"> </w:t>
      </w:r>
      <w:r w:rsidR="00E93342" w:rsidRPr="00DB064B">
        <w:rPr>
          <w:sz w:val="22"/>
          <w:szCs w:val="22"/>
        </w:rPr>
        <w:t xml:space="preserve">out of </w:t>
      </w:r>
      <w:r w:rsidR="00356242">
        <w:rPr>
          <w:b/>
          <w:sz w:val="22"/>
          <w:szCs w:val="22"/>
        </w:rPr>
        <w:t xml:space="preserve">118 </w:t>
      </w:r>
      <w:r w:rsidR="000A60F8" w:rsidRPr="000A60F8">
        <w:rPr>
          <w:sz w:val="22"/>
          <w:szCs w:val="22"/>
        </w:rPr>
        <w:t>a</w:t>
      </w:r>
      <w:r w:rsidR="003D3B37" w:rsidRPr="00DB064B">
        <w:rPr>
          <w:sz w:val="22"/>
          <w:szCs w:val="22"/>
        </w:rPr>
        <w:t>ctivities</w:t>
      </w:r>
      <w:r w:rsidR="00356242">
        <w:rPr>
          <w:sz w:val="22"/>
          <w:szCs w:val="22"/>
        </w:rPr>
        <w:t xml:space="preserve"> in this report</w:t>
      </w:r>
      <w:r w:rsidR="003D3B37" w:rsidRPr="00DB064B">
        <w:rPr>
          <w:sz w:val="22"/>
          <w:szCs w:val="22"/>
        </w:rPr>
        <w:t xml:space="preserve">, </w:t>
      </w:r>
      <w:r w:rsidR="000A60F8">
        <w:rPr>
          <w:b/>
          <w:sz w:val="22"/>
          <w:szCs w:val="22"/>
        </w:rPr>
        <w:t>53</w:t>
      </w:r>
      <w:r w:rsidRPr="00DB064B">
        <w:rPr>
          <w:b/>
          <w:sz w:val="22"/>
          <w:szCs w:val="22"/>
        </w:rPr>
        <w:t>%</w:t>
      </w:r>
      <w:r w:rsidRPr="00DB064B">
        <w:rPr>
          <w:sz w:val="22"/>
          <w:szCs w:val="22"/>
        </w:rPr>
        <w:t xml:space="preserve"> of reported amounts) </w:t>
      </w:r>
      <w:r w:rsidR="00D15D44" w:rsidRPr="00DB064B">
        <w:rPr>
          <w:sz w:val="22"/>
          <w:szCs w:val="22"/>
        </w:rPr>
        <w:t xml:space="preserve">comprised </w:t>
      </w:r>
      <w:r w:rsidRPr="00DB064B">
        <w:rPr>
          <w:sz w:val="22"/>
          <w:szCs w:val="22"/>
        </w:rPr>
        <w:t xml:space="preserve">of: </w:t>
      </w:r>
    </w:p>
    <w:p w14:paraId="641F9905" w14:textId="6EEE09E5" w:rsidR="00A87725" w:rsidRPr="00943D0D" w:rsidRDefault="00D15D44" w:rsidP="00A87725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943D0D">
        <w:rPr>
          <w:sz w:val="22"/>
          <w:szCs w:val="22"/>
        </w:rPr>
        <w:t>heat and power equipment</w:t>
      </w:r>
      <w:r w:rsidR="00FB1245">
        <w:rPr>
          <w:sz w:val="22"/>
          <w:szCs w:val="22"/>
        </w:rPr>
        <w:t xml:space="preserve"> </w:t>
      </w:r>
      <w:r w:rsidR="00A87725" w:rsidRPr="00943D0D">
        <w:rPr>
          <w:sz w:val="22"/>
          <w:szCs w:val="22"/>
        </w:rPr>
        <w:t>(distributed power generation Fuel Cell applications, self-sufficient household systems, back-up systems, manufacturing facilities)</w:t>
      </w:r>
      <w:r w:rsidR="00943D0D" w:rsidRPr="00943D0D">
        <w:rPr>
          <w:sz w:val="22"/>
          <w:szCs w:val="22"/>
        </w:rPr>
        <w:t>;</w:t>
      </w:r>
      <w:r w:rsidRPr="00943D0D">
        <w:rPr>
          <w:sz w:val="22"/>
          <w:szCs w:val="22"/>
        </w:rPr>
        <w:t xml:space="preserve"> </w:t>
      </w:r>
    </w:p>
    <w:p w14:paraId="23ED335A" w14:textId="52BA7E89" w:rsidR="00A87725" w:rsidRPr="00A87725" w:rsidRDefault="00D15D44" w:rsidP="00A87725">
      <w:pPr>
        <w:pStyle w:val="ListParagraph"/>
        <w:numPr>
          <w:ilvl w:val="0"/>
          <w:numId w:val="5"/>
        </w:numPr>
      </w:pPr>
      <w:r w:rsidRPr="00D15D44">
        <w:t xml:space="preserve">hydrogen production </w:t>
      </w:r>
      <w:r w:rsidR="00A87725">
        <w:t xml:space="preserve">and </w:t>
      </w:r>
      <w:r w:rsidRPr="00D15D44">
        <w:t>stor</w:t>
      </w:r>
      <w:r>
        <w:t>age</w:t>
      </w:r>
      <w:r w:rsidR="00A87725">
        <w:t xml:space="preserve"> (</w:t>
      </w:r>
      <w:r w:rsidR="00A87725" w:rsidRPr="00A87725">
        <w:t>large scale green hydrogen production via electrolysis, hydrogen purification, power-to-hydrogen and storage of renewables)</w:t>
      </w:r>
      <w:r w:rsidR="00943D0D">
        <w:t>.</w:t>
      </w:r>
    </w:p>
    <w:p w14:paraId="649F01E4" w14:textId="1CEA7393" w:rsidR="00A87725" w:rsidRPr="00DB064B" w:rsidRDefault="00A87725" w:rsidP="00A87725">
      <w:pPr>
        <w:pStyle w:val="BodyText"/>
        <w:jc w:val="both"/>
        <w:rPr>
          <w:sz w:val="12"/>
          <w:szCs w:val="12"/>
        </w:rPr>
      </w:pPr>
    </w:p>
    <w:p w14:paraId="49E2A1C4" w14:textId="23D7AB51" w:rsidR="00A87725" w:rsidRPr="00DB064B" w:rsidRDefault="00D15D44" w:rsidP="00A87725">
      <w:pPr>
        <w:pStyle w:val="BodyText"/>
        <w:ind w:left="-142"/>
        <w:jc w:val="both"/>
        <w:rPr>
          <w:sz w:val="22"/>
          <w:szCs w:val="22"/>
        </w:rPr>
      </w:pPr>
      <w:r w:rsidRPr="00DB064B">
        <w:rPr>
          <w:sz w:val="22"/>
          <w:szCs w:val="22"/>
        </w:rPr>
        <w:t xml:space="preserve">The activities within the </w:t>
      </w:r>
      <w:r w:rsidRPr="00DB064B">
        <w:rPr>
          <w:b/>
          <w:sz w:val="22"/>
          <w:szCs w:val="22"/>
        </w:rPr>
        <w:t>Transport Pillar</w:t>
      </w:r>
      <w:r w:rsidRPr="00DB064B">
        <w:rPr>
          <w:sz w:val="22"/>
          <w:szCs w:val="22"/>
        </w:rPr>
        <w:t xml:space="preserve"> </w:t>
      </w:r>
      <w:r w:rsidR="00943D0D" w:rsidRPr="00DB064B">
        <w:rPr>
          <w:sz w:val="22"/>
          <w:szCs w:val="22"/>
        </w:rPr>
        <w:t>(</w:t>
      </w:r>
      <w:r w:rsidR="000A60F8">
        <w:rPr>
          <w:b/>
          <w:sz w:val="22"/>
          <w:szCs w:val="22"/>
        </w:rPr>
        <w:t xml:space="preserve">33 </w:t>
      </w:r>
      <w:r w:rsidR="003D3B37" w:rsidRPr="00DB064B">
        <w:rPr>
          <w:sz w:val="22"/>
          <w:szCs w:val="22"/>
        </w:rPr>
        <w:t xml:space="preserve">out of </w:t>
      </w:r>
      <w:r w:rsidR="000A60F8">
        <w:rPr>
          <w:b/>
          <w:sz w:val="22"/>
          <w:szCs w:val="22"/>
        </w:rPr>
        <w:t>118</w:t>
      </w:r>
      <w:r w:rsidR="00F74FE1" w:rsidRPr="00DB064B">
        <w:rPr>
          <w:sz w:val="22"/>
          <w:szCs w:val="22"/>
        </w:rPr>
        <w:t xml:space="preserve"> </w:t>
      </w:r>
      <w:r w:rsidR="003D3B37" w:rsidRPr="00DB064B">
        <w:rPr>
          <w:sz w:val="22"/>
          <w:szCs w:val="22"/>
        </w:rPr>
        <w:t xml:space="preserve">activities, </w:t>
      </w:r>
      <w:r w:rsidR="000A60F8">
        <w:rPr>
          <w:b/>
          <w:sz w:val="22"/>
          <w:szCs w:val="22"/>
        </w:rPr>
        <w:t>46</w:t>
      </w:r>
      <w:r w:rsidR="00943D0D" w:rsidRPr="00DB064B">
        <w:rPr>
          <w:b/>
          <w:sz w:val="22"/>
          <w:szCs w:val="22"/>
        </w:rPr>
        <w:t>%</w:t>
      </w:r>
      <w:r w:rsidR="00943D0D" w:rsidRPr="00DB064B">
        <w:rPr>
          <w:sz w:val="22"/>
          <w:szCs w:val="22"/>
        </w:rPr>
        <w:t xml:space="preserve"> of reported amounts) </w:t>
      </w:r>
      <w:r w:rsidRPr="00DB064B">
        <w:rPr>
          <w:sz w:val="22"/>
          <w:szCs w:val="22"/>
        </w:rPr>
        <w:t>included</w:t>
      </w:r>
      <w:r w:rsidR="00A87725" w:rsidRPr="00DB064B">
        <w:rPr>
          <w:sz w:val="22"/>
          <w:szCs w:val="22"/>
        </w:rPr>
        <w:t>:</w:t>
      </w:r>
    </w:p>
    <w:p w14:paraId="38A8B32E" w14:textId="77777777" w:rsidR="00943D0D" w:rsidRPr="00DB064B" w:rsidRDefault="00D15D44" w:rsidP="00943D0D">
      <w:pPr>
        <w:pStyle w:val="BodyText"/>
        <w:numPr>
          <w:ilvl w:val="0"/>
          <w:numId w:val="5"/>
        </w:numPr>
        <w:jc w:val="both"/>
        <w:rPr>
          <w:sz w:val="22"/>
          <w:szCs w:val="22"/>
        </w:rPr>
      </w:pPr>
      <w:r w:rsidRPr="00DB064B">
        <w:rPr>
          <w:sz w:val="22"/>
          <w:szCs w:val="22"/>
        </w:rPr>
        <w:t>transportatio</w:t>
      </w:r>
      <w:r w:rsidR="00943D0D" w:rsidRPr="00DB064B">
        <w:rPr>
          <w:sz w:val="22"/>
          <w:szCs w:val="22"/>
        </w:rPr>
        <w:t>n (FC cars, FC buses, FC range extenders, material handling vehicles, Auxiliary Power Units for aviation and trucks);</w:t>
      </w:r>
    </w:p>
    <w:p w14:paraId="40BA85F1" w14:textId="3643D2C5" w:rsidR="00943D0D" w:rsidRDefault="00943D0D" w:rsidP="00943D0D">
      <w:pPr>
        <w:pStyle w:val="ListParagraph"/>
        <w:numPr>
          <w:ilvl w:val="0"/>
          <w:numId w:val="5"/>
        </w:numPr>
      </w:pPr>
      <w:r w:rsidRPr="00DB064B">
        <w:t>transport infrastructure (hydrogen refuelling infrastructure, including on-site green H2 production).</w:t>
      </w:r>
    </w:p>
    <w:p w14:paraId="62F9AA4E" w14:textId="77777777" w:rsidR="00AC6F57" w:rsidRPr="00DB064B" w:rsidRDefault="00AC6F57" w:rsidP="00AC6F57">
      <w:pPr>
        <w:pStyle w:val="ListParagraph"/>
        <w:ind w:left="578"/>
      </w:pPr>
    </w:p>
    <w:p w14:paraId="1FD46792" w14:textId="7E9B9E1E" w:rsidR="001E4416" w:rsidRDefault="00A87725" w:rsidP="00340DDF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  <w:r w:rsidRPr="00DB064B">
        <w:rPr>
          <w:b w:val="0"/>
          <w:bCs w:val="0"/>
          <w:sz w:val="22"/>
          <w:szCs w:val="22"/>
        </w:rPr>
        <w:t>Finally, a number of activities</w:t>
      </w:r>
      <w:r w:rsidR="003D3B37" w:rsidRPr="00DB064B">
        <w:rPr>
          <w:b w:val="0"/>
          <w:bCs w:val="0"/>
          <w:sz w:val="22"/>
          <w:szCs w:val="22"/>
        </w:rPr>
        <w:t xml:space="preserve"> (</w:t>
      </w:r>
      <w:r w:rsidR="000A60F8">
        <w:rPr>
          <w:bCs w:val="0"/>
          <w:sz w:val="22"/>
          <w:szCs w:val="22"/>
        </w:rPr>
        <w:t xml:space="preserve">9 </w:t>
      </w:r>
      <w:r w:rsidR="001D02E8" w:rsidRPr="00DB064B">
        <w:rPr>
          <w:b w:val="0"/>
          <w:bCs w:val="0"/>
          <w:sz w:val="22"/>
          <w:szCs w:val="22"/>
        </w:rPr>
        <w:t xml:space="preserve">out of </w:t>
      </w:r>
      <w:r w:rsidR="000A60F8">
        <w:rPr>
          <w:bCs w:val="0"/>
          <w:sz w:val="22"/>
          <w:szCs w:val="22"/>
        </w:rPr>
        <w:t>118</w:t>
      </w:r>
      <w:r w:rsidR="001D02E8" w:rsidRPr="00DB064B">
        <w:rPr>
          <w:b w:val="0"/>
          <w:bCs w:val="0"/>
          <w:sz w:val="22"/>
          <w:szCs w:val="22"/>
        </w:rPr>
        <w:t xml:space="preserve"> </w:t>
      </w:r>
      <w:r w:rsidR="001D02E8">
        <w:rPr>
          <w:b w:val="0"/>
          <w:bCs w:val="0"/>
          <w:sz w:val="22"/>
          <w:szCs w:val="22"/>
        </w:rPr>
        <w:t>activities)</w:t>
      </w:r>
      <w:r w:rsidRPr="00340DDF">
        <w:rPr>
          <w:b w:val="0"/>
          <w:bCs w:val="0"/>
          <w:sz w:val="22"/>
          <w:szCs w:val="22"/>
        </w:rPr>
        <w:t xml:space="preserve"> dealt with r</w:t>
      </w:r>
      <w:r w:rsidR="001E4416" w:rsidRPr="00340DDF">
        <w:rPr>
          <w:b w:val="0"/>
          <w:bCs w:val="0"/>
          <w:sz w:val="22"/>
          <w:szCs w:val="22"/>
        </w:rPr>
        <w:t xml:space="preserve">egulations, standards and </w:t>
      </w:r>
      <w:r w:rsidRPr="00340DDF">
        <w:rPr>
          <w:b w:val="0"/>
          <w:bCs w:val="0"/>
          <w:sz w:val="22"/>
          <w:szCs w:val="22"/>
        </w:rPr>
        <w:t xml:space="preserve">codes, </w:t>
      </w:r>
      <w:r w:rsidR="001E4416" w:rsidRPr="00340DDF">
        <w:rPr>
          <w:b w:val="0"/>
          <w:bCs w:val="0"/>
          <w:sz w:val="22"/>
          <w:szCs w:val="22"/>
        </w:rPr>
        <w:t>education</w:t>
      </w:r>
      <w:r w:rsidRPr="00340DDF">
        <w:rPr>
          <w:b w:val="0"/>
          <w:bCs w:val="0"/>
          <w:sz w:val="22"/>
          <w:szCs w:val="22"/>
        </w:rPr>
        <w:t>, as well as transitions solutions</w:t>
      </w:r>
      <w:r w:rsidR="001E4416" w:rsidRPr="00340DDF">
        <w:rPr>
          <w:b w:val="0"/>
          <w:bCs w:val="0"/>
          <w:sz w:val="22"/>
          <w:szCs w:val="22"/>
        </w:rPr>
        <w:t xml:space="preserve"> (energy storage roadmaps, including dissemination activities and awareness, commercialisation strategies, patents)</w:t>
      </w:r>
      <w:r w:rsidR="00943D0D" w:rsidRPr="00340DDF">
        <w:rPr>
          <w:b w:val="0"/>
          <w:bCs w:val="0"/>
          <w:sz w:val="22"/>
          <w:szCs w:val="22"/>
        </w:rPr>
        <w:t>, as indicated in the table below.</w:t>
      </w:r>
    </w:p>
    <w:p w14:paraId="3F67D8BE" w14:textId="77777777" w:rsidR="00754939" w:rsidRDefault="00754939" w:rsidP="00340DDF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tbl>
      <w:tblPr>
        <w:tblW w:w="737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8"/>
        <w:gridCol w:w="1134"/>
        <w:gridCol w:w="708"/>
        <w:gridCol w:w="993"/>
        <w:gridCol w:w="719"/>
      </w:tblGrid>
      <w:tr w:rsidR="00061152" w14:paraId="698E59F1" w14:textId="77777777" w:rsidTr="00422A03">
        <w:trPr>
          <w:trHeight w:hRule="exact" w:val="400"/>
          <w:jc w:val="center"/>
        </w:trPr>
        <w:tc>
          <w:tcPr>
            <w:tcW w:w="7372" w:type="dxa"/>
            <w:gridSpan w:val="5"/>
            <w:tcBorders>
              <w:bottom w:val="single" w:sz="4" w:space="0" w:color="000000"/>
            </w:tcBorders>
            <w:shd w:val="clear" w:color="auto" w:fill="0070C0"/>
          </w:tcPr>
          <w:p w14:paraId="4D1A2308" w14:textId="695EA3AC" w:rsidR="00061152" w:rsidRDefault="00061152" w:rsidP="00422A03">
            <w:pPr>
              <w:pStyle w:val="TableParagraph"/>
              <w:spacing w:before="49"/>
              <w:jc w:val="center"/>
              <w:rPr>
                <w:rFonts w:ascii="Arial" w:hAnsi="Arial" w:cs="Arial"/>
                <w:b/>
                <w:color w:val="FFFFFF"/>
              </w:rPr>
            </w:pPr>
            <w:bookmarkStart w:id="0" w:name="_Hlk13130155"/>
            <w:bookmarkStart w:id="1" w:name="_Hlk13130182"/>
            <w:r w:rsidRPr="007E67B2">
              <w:rPr>
                <w:rFonts w:ascii="Arial" w:hAnsi="Arial" w:cs="Arial"/>
                <w:b/>
                <w:color w:val="FFFFFF"/>
              </w:rPr>
              <w:t>Energy /Transport Distribution</w:t>
            </w:r>
            <w:r>
              <w:rPr>
                <w:rFonts w:ascii="Arial" w:hAnsi="Arial" w:cs="Arial"/>
                <w:b/>
                <w:color w:val="FFFFFF"/>
              </w:rPr>
              <w:t>: January –</w:t>
            </w:r>
            <w:r w:rsidR="001002C1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 xml:space="preserve"> December 20</w:t>
            </w:r>
            <w:r w:rsidRPr="00DB064B">
              <w:rPr>
                <w:rFonts w:ascii="Arial" w:hAnsi="Arial" w:cs="Arial"/>
                <w:b/>
                <w:color w:val="FFFFFF" w:themeColor="background1"/>
              </w:rPr>
              <w:t>1</w:t>
            </w:r>
            <w:r w:rsidR="00FB1245">
              <w:rPr>
                <w:rFonts w:ascii="Arial" w:hAnsi="Arial" w:cs="Arial"/>
                <w:b/>
                <w:color w:val="FFFFFF" w:themeColor="background1"/>
              </w:rPr>
              <w:t>8</w:t>
            </w:r>
          </w:p>
          <w:p w14:paraId="63AAB443" w14:textId="77777777" w:rsidR="00E93342" w:rsidRDefault="00E93342" w:rsidP="00422A03">
            <w:pPr>
              <w:pStyle w:val="TableParagraph"/>
              <w:spacing w:before="49"/>
              <w:jc w:val="center"/>
              <w:rPr>
                <w:rFonts w:ascii="Arial" w:hAnsi="Arial" w:cs="Arial"/>
                <w:b/>
                <w:color w:val="FFFFFF"/>
              </w:rPr>
            </w:pPr>
          </w:p>
          <w:p w14:paraId="0177BCB0" w14:textId="2DA10368" w:rsidR="00E93342" w:rsidRPr="007E67B2" w:rsidRDefault="00E93342" w:rsidP="00E93342">
            <w:pPr>
              <w:pStyle w:val="TableParagraph"/>
              <w:spacing w:before="49"/>
              <w:rPr>
                <w:rFonts w:ascii="Arial" w:hAnsi="Arial" w:cs="Arial"/>
                <w:b/>
                <w:color w:val="FFFFFF"/>
              </w:rPr>
            </w:pPr>
          </w:p>
        </w:tc>
      </w:tr>
      <w:tr w:rsidR="00061152" w14:paraId="0F8865C8" w14:textId="77777777" w:rsidTr="000D1F41">
        <w:trPr>
          <w:trHeight w:hRule="exact" w:val="1025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151D60A0" w14:textId="77777777" w:rsidR="00061152" w:rsidRPr="00AA1B75" w:rsidRDefault="00061152" w:rsidP="00422A03">
            <w:pPr>
              <w:pStyle w:val="TableParagraph"/>
              <w:ind w:left="60"/>
              <w:jc w:val="center"/>
              <w:rPr>
                <w:rFonts w:ascii="Arial" w:hAnsi="Arial" w:cs="Arial"/>
                <w:b/>
                <w:color w:val="FFFFFF"/>
              </w:rPr>
            </w:pPr>
            <w:r w:rsidRPr="00AA1B75">
              <w:rPr>
                <w:rFonts w:ascii="Arial" w:hAnsi="Arial" w:cs="Arial"/>
                <w:b/>
                <w:color w:val="FFFFFF"/>
              </w:rPr>
              <w:t>Application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310928C" w14:textId="2B47C29D" w:rsidR="00061152" w:rsidRPr="00AA1B75" w:rsidRDefault="00061152" w:rsidP="002C621C">
            <w:pPr>
              <w:pStyle w:val="TableParagraph"/>
              <w:ind w:left="6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# of </w:t>
            </w:r>
            <w:r w:rsidR="002C621C">
              <w:rPr>
                <w:rFonts w:ascii="Arial" w:hAnsi="Arial" w:cs="Arial"/>
                <w:b/>
                <w:color w:val="FFFFFF"/>
              </w:rPr>
              <w:t>Activities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4DD2D615" w14:textId="77777777" w:rsidR="00061152" w:rsidRPr="00AA1B75" w:rsidRDefault="00061152" w:rsidP="00422A03">
            <w:pPr>
              <w:pStyle w:val="TableParagraph"/>
              <w:ind w:left="60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2C6BB993" w14:textId="77777777" w:rsidR="00061152" w:rsidRPr="00AA1B75" w:rsidRDefault="00061152" w:rsidP="00422A03">
            <w:pPr>
              <w:pStyle w:val="TableParagraph"/>
              <w:ind w:left="60"/>
              <w:jc w:val="center"/>
              <w:rPr>
                <w:rFonts w:ascii="Arial" w:hAnsi="Arial" w:cs="Arial"/>
                <w:b/>
                <w:color w:val="FFFFFF"/>
              </w:rPr>
            </w:pPr>
            <w:r w:rsidRPr="00AA1B75">
              <w:rPr>
                <w:rFonts w:ascii="Arial" w:hAnsi="Arial" w:cs="Arial"/>
                <w:b/>
                <w:color w:val="FFFFFF"/>
              </w:rPr>
              <w:t>Value of IKAA (M€)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BBAFCFE" w14:textId="77777777" w:rsidR="00061152" w:rsidRPr="00AA1B75" w:rsidRDefault="00061152" w:rsidP="00422A03">
            <w:pPr>
              <w:pStyle w:val="TableParagraph"/>
              <w:ind w:left="60"/>
              <w:jc w:val="center"/>
              <w:rPr>
                <w:rFonts w:ascii="Arial" w:hAnsi="Arial" w:cs="Arial"/>
                <w:b/>
                <w:color w:val="FFFFFF"/>
              </w:rPr>
            </w:pPr>
            <w:r w:rsidRPr="00AA1B75">
              <w:rPr>
                <w:rFonts w:ascii="Arial" w:hAnsi="Arial" w:cs="Arial"/>
                <w:b/>
                <w:color w:val="FFFFFF"/>
              </w:rPr>
              <w:t>%</w:t>
            </w:r>
          </w:p>
        </w:tc>
      </w:tr>
      <w:tr w:rsidR="00061152" w14:paraId="72E517A4" w14:textId="77777777" w:rsidTr="00316C87">
        <w:trPr>
          <w:trHeight w:hRule="exact" w:val="310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EB56466" w14:textId="631F092D" w:rsidR="00061152" w:rsidRPr="00AA1B75" w:rsidRDefault="002C621C" w:rsidP="00422A03">
            <w:r>
              <w:t>Hydrogen Production</w:t>
            </w:r>
          </w:p>
          <w:p w14:paraId="0FD9867B" w14:textId="77777777" w:rsidR="00061152" w:rsidRPr="00AA1B75" w:rsidRDefault="00061152" w:rsidP="00422A03">
            <w:pPr>
              <w:pStyle w:val="TableParagraph"/>
              <w:spacing w:before="17"/>
              <w:ind w:left="6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1A8C414" w14:textId="2243B26E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  <w:p w14:paraId="2708E60A" w14:textId="1EF90104" w:rsidR="001F34F9" w:rsidRPr="002C621C" w:rsidRDefault="001F34F9" w:rsidP="00316C87">
            <w:pPr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B6DE0CE" w14:textId="091A8B44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40%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1560A23" w14:textId="2EDD027F" w:rsidR="00061152" w:rsidRPr="002C621C" w:rsidRDefault="005C5A80" w:rsidP="00316C87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  <w:p w14:paraId="67F0992D" w14:textId="77777777" w:rsidR="00E93342" w:rsidRPr="002C621C" w:rsidRDefault="00E93342" w:rsidP="00316C87">
            <w:pPr>
              <w:jc w:val="center"/>
              <w:rPr>
                <w:b/>
              </w:rPr>
            </w:pPr>
          </w:p>
          <w:p w14:paraId="3CCFCF9C" w14:textId="77777777" w:rsidR="00061152" w:rsidRPr="002C621C" w:rsidRDefault="00061152" w:rsidP="00316C87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B5C66EC" w14:textId="79EA4F53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41%</w:t>
            </w:r>
          </w:p>
        </w:tc>
      </w:tr>
      <w:tr w:rsidR="00061152" w14:paraId="2139DFBE" w14:textId="77777777" w:rsidTr="00316C87">
        <w:trPr>
          <w:trHeight w:hRule="exact" w:val="310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8D95A" w14:textId="0BD856BD" w:rsidR="00061152" w:rsidRPr="00AA1B75" w:rsidRDefault="002C621C" w:rsidP="00422A03">
            <w:r>
              <w:t>Transportation</w:t>
            </w:r>
          </w:p>
          <w:p w14:paraId="09472565" w14:textId="77777777" w:rsidR="00061152" w:rsidRPr="00AA1B75" w:rsidRDefault="00061152" w:rsidP="00422A03">
            <w:pPr>
              <w:pStyle w:val="TableParagraph"/>
              <w:spacing w:before="17"/>
              <w:ind w:left="6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4F52D" w14:textId="089D5C04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  <w:p w14:paraId="0972430D" w14:textId="6E33EB40" w:rsidR="001F34F9" w:rsidRPr="002C621C" w:rsidRDefault="001F34F9" w:rsidP="001F34F9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2F567" w14:textId="244AB891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22%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0DFC70" w14:textId="49FC51C6" w:rsidR="00061152" w:rsidRPr="002C621C" w:rsidRDefault="002C621C" w:rsidP="005C5A80">
            <w:pPr>
              <w:jc w:val="center"/>
            </w:pPr>
            <w:r>
              <w:rPr>
                <w:b/>
              </w:rPr>
              <w:t>36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A303F" w14:textId="4E632191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38%</w:t>
            </w:r>
          </w:p>
        </w:tc>
      </w:tr>
      <w:tr w:rsidR="00061152" w14:paraId="7CD39386" w14:textId="77777777" w:rsidTr="00316C87">
        <w:trPr>
          <w:trHeight w:hRule="exact" w:val="308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449435B" w14:textId="1CE82CEB" w:rsidR="00061152" w:rsidRPr="00AA1B75" w:rsidRDefault="002C621C" w:rsidP="00422A03">
            <w:r>
              <w:t>Heat and Power Equipment</w:t>
            </w:r>
          </w:p>
          <w:p w14:paraId="49A9D0E6" w14:textId="77777777" w:rsidR="00061152" w:rsidRPr="00AA1B75" w:rsidRDefault="00061152" w:rsidP="00422A03">
            <w:pPr>
              <w:pStyle w:val="TableParagraph"/>
              <w:spacing w:before="16"/>
              <w:ind w:left="60"/>
              <w:rPr>
                <w:rFonts w:ascii="Arial" w:eastAsia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BFF567" w14:textId="2FC8BFF7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9362ED5" w14:textId="22638A31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24%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5EAF86FB" w14:textId="2E74D4CD" w:rsidR="00061152" w:rsidRPr="002C621C" w:rsidRDefault="002C621C" w:rsidP="00316C8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  <w:p w14:paraId="2B22D0C5" w14:textId="77777777" w:rsidR="00851479" w:rsidRPr="002C621C" w:rsidRDefault="00851479" w:rsidP="00316C87">
            <w:pPr>
              <w:jc w:val="center"/>
            </w:pPr>
          </w:p>
          <w:p w14:paraId="0EDA30B7" w14:textId="77777777" w:rsidR="00061152" w:rsidRPr="002C621C" w:rsidRDefault="00061152" w:rsidP="00316C87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8B94AD" w14:textId="44091216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12%</w:t>
            </w:r>
          </w:p>
        </w:tc>
      </w:tr>
      <w:tr w:rsidR="00061152" w14:paraId="2E1B6942" w14:textId="77777777" w:rsidTr="00316C87">
        <w:trPr>
          <w:trHeight w:hRule="exact" w:val="308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8459" w14:textId="77777777" w:rsidR="00061152" w:rsidRPr="00AA1B75" w:rsidRDefault="00061152" w:rsidP="00422A03">
            <w:r w:rsidRPr="00AA1B75">
              <w:t>Transport Infrastructure</w:t>
            </w:r>
          </w:p>
          <w:p w14:paraId="43153029" w14:textId="77777777" w:rsidR="00061152" w:rsidRPr="00AA1B75" w:rsidRDefault="00061152" w:rsidP="00422A03">
            <w:pPr>
              <w:pStyle w:val="TableParagraph"/>
              <w:spacing w:before="16"/>
              <w:ind w:left="6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33594" w14:textId="5F1FB574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1EE568F7" w14:textId="2696DB2E" w:rsidR="00851479" w:rsidRPr="002C621C" w:rsidRDefault="00851479" w:rsidP="00316C8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89DED" w14:textId="0436FF9A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F70E8" w14:textId="4C34D6E6" w:rsidR="00061152" w:rsidRPr="002C621C" w:rsidRDefault="001464F2" w:rsidP="00316C8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462B25A9" w14:textId="77777777" w:rsidR="00061152" w:rsidRPr="002C621C" w:rsidRDefault="00061152" w:rsidP="00316C87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5092C6" w14:textId="371B81B9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8%</w:t>
            </w:r>
          </w:p>
        </w:tc>
      </w:tr>
      <w:tr w:rsidR="00061152" w14:paraId="329C63CC" w14:textId="77777777" w:rsidTr="00316C87">
        <w:trPr>
          <w:trHeight w:hRule="exact" w:val="308"/>
          <w:jc w:val="center"/>
        </w:trPr>
        <w:tc>
          <w:tcPr>
            <w:tcW w:w="38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6375223" w14:textId="54C27572" w:rsidR="00061152" w:rsidRPr="00AA1B75" w:rsidRDefault="00316C87" w:rsidP="00316C87">
            <w:r>
              <w:t>Regulations, Standards and Education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6356D178" w14:textId="71473C64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4AED0BF" w14:textId="50320055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8%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18AF54C" w14:textId="4D206EDB" w:rsidR="00061152" w:rsidRPr="002C621C" w:rsidRDefault="0019728A" w:rsidP="00316C8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2" w:name="_GoBack"/>
            <w:bookmarkEnd w:id="2"/>
          </w:p>
          <w:p w14:paraId="49A72EE5" w14:textId="77777777" w:rsidR="001F34F9" w:rsidRPr="002C621C" w:rsidRDefault="001F34F9" w:rsidP="00316C87">
            <w:pPr>
              <w:jc w:val="center"/>
            </w:pPr>
          </w:p>
          <w:p w14:paraId="1AF12A25" w14:textId="77777777" w:rsidR="00061152" w:rsidRPr="002C621C" w:rsidRDefault="00061152" w:rsidP="00316C87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EA967F" w14:textId="0667E68A" w:rsidR="00061152" w:rsidRPr="002C621C" w:rsidRDefault="00356242" w:rsidP="00316C87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bookmarkEnd w:id="0"/>
      <w:tr w:rsidR="00061152" w:rsidRPr="007C533D" w14:paraId="0449FE41" w14:textId="77777777" w:rsidTr="000D1F41">
        <w:trPr>
          <w:trHeight w:hRule="exact" w:val="428"/>
          <w:jc w:val="center"/>
        </w:trPr>
        <w:tc>
          <w:tcPr>
            <w:tcW w:w="381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70AD47"/>
          </w:tcPr>
          <w:p w14:paraId="76847844" w14:textId="77777777" w:rsidR="00061152" w:rsidRPr="007C533D" w:rsidRDefault="00061152" w:rsidP="00422A03">
            <w:pPr>
              <w:pStyle w:val="TableParagraph"/>
              <w:spacing w:before="28"/>
              <w:ind w:left="60"/>
              <w:rPr>
                <w:rFonts w:ascii="Arial" w:hAnsi="Arial" w:cs="Arial"/>
                <w:b/>
              </w:rPr>
            </w:pPr>
            <w:r w:rsidRPr="007C533D">
              <w:rPr>
                <w:rFonts w:ascii="Arial" w:hAnsi="Arial" w:cs="Arial"/>
                <w:b/>
                <w:color w:val="FFFFFF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0AD47"/>
            <w:vAlign w:val="center"/>
          </w:tcPr>
          <w:p w14:paraId="5306B4C0" w14:textId="2AD6C233" w:rsidR="00061152" w:rsidRPr="002C621C" w:rsidRDefault="00356242" w:rsidP="00316C87">
            <w:pPr>
              <w:pStyle w:val="TableParagraph"/>
              <w:spacing w:before="28"/>
              <w:ind w:right="5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118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0AD47"/>
            <w:vAlign w:val="center"/>
          </w:tcPr>
          <w:p w14:paraId="435100E4" w14:textId="0B80D713" w:rsidR="00061152" w:rsidRPr="002C621C" w:rsidRDefault="00316C87" w:rsidP="00316C87">
            <w:pPr>
              <w:pStyle w:val="TableParagraph"/>
              <w:spacing w:before="28"/>
              <w:ind w:right="5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21C">
              <w:rPr>
                <w:rFonts w:ascii="Arial" w:hAnsi="Arial" w:cs="Arial"/>
                <w:b/>
                <w:color w:val="FFFFFF" w:themeColor="background1"/>
              </w:rPr>
              <w:t>100%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0AD47"/>
            <w:vAlign w:val="center"/>
          </w:tcPr>
          <w:p w14:paraId="159C0E30" w14:textId="25DD0FBF" w:rsidR="00061152" w:rsidRPr="002C621C" w:rsidRDefault="00356242" w:rsidP="001464F2">
            <w:pPr>
              <w:pStyle w:val="TableParagraph"/>
              <w:spacing w:before="28"/>
              <w:ind w:right="5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93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70AD47"/>
            <w:vAlign w:val="center"/>
          </w:tcPr>
          <w:p w14:paraId="1ED8F55F" w14:textId="77777777" w:rsidR="00061152" w:rsidRPr="002C621C" w:rsidRDefault="00061152" w:rsidP="00316C87">
            <w:pPr>
              <w:pStyle w:val="TableParagraph"/>
              <w:spacing w:before="28"/>
              <w:ind w:right="56"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C621C">
              <w:rPr>
                <w:rFonts w:ascii="Arial" w:hAnsi="Arial" w:cs="Arial"/>
                <w:b/>
                <w:color w:val="FFFFFF" w:themeColor="background1"/>
              </w:rPr>
              <w:t>100%</w:t>
            </w:r>
          </w:p>
        </w:tc>
      </w:tr>
      <w:bookmarkEnd w:id="1"/>
    </w:tbl>
    <w:p w14:paraId="56789CB4" w14:textId="475FD4F4" w:rsidR="00C552B6" w:rsidRDefault="00C552B6" w:rsidP="00340DDF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tbl>
      <w:tblPr>
        <w:tblStyle w:val="TableGrid"/>
        <w:tblW w:w="751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513"/>
      </w:tblGrid>
      <w:tr w:rsidR="00494CB1" w14:paraId="7CBBA68F" w14:textId="77777777" w:rsidTr="0055145E">
        <w:tc>
          <w:tcPr>
            <w:tcW w:w="7513" w:type="dxa"/>
            <w:shd w:val="clear" w:color="auto" w:fill="D9D9D9" w:themeFill="background1" w:themeFillShade="D9"/>
          </w:tcPr>
          <w:p w14:paraId="1053DFC1" w14:textId="6B8125EB" w:rsidR="00494CB1" w:rsidRPr="00494CB1" w:rsidRDefault="00494CB1" w:rsidP="00B86391">
            <w:pPr>
              <w:pStyle w:val="Heading1"/>
              <w:tabs>
                <w:tab w:val="left" w:pos="7623"/>
              </w:tabs>
              <w:ind w:left="0"/>
              <w:outlineLvl w:val="0"/>
              <w:rPr>
                <w:highlight w:val="lightGray"/>
                <w:shd w:val="clear" w:color="auto" w:fill="DBE5F1"/>
              </w:rPr>
            </w:pPr>
            <w:r w:rsidRPr="00494CB1">
              <w:rPr>
                <w:highlight w:val="lightGray"/>
                <w:shd w:val="clear" w:color="auto" w:fill="DBE5F1"/>
              </w:rPr>
              <w:t>Conclusions and Next Steps</w:t>
            </w:r>
          </w:p>
        </w:tc>
      </w:tr>
    </w:tbl>
    <w:p w14:paraId="11D4E48C" w14:textId="0001B7D7" w:rsidR="00494CB1" w:rsidRDefault="00494CB1" w:rsidP="00B86391">
      <w:pPr>
        <w:pStyle w:val="Heading1"/>
        <w:tabs>
          <w:tab w:val="left" w:pos="7623"/>
        </w:tabs>
        <w:ind w:left="-142"/>
        <w:rPr>
          <w:sz w:val="22"/>
          <w:szCs w:val="22"/>
          <w:highlight w:val="lightGray"/>
          <w:shd w:val="clear" w:color="auto" w:fill="DBE5F1"/>
        </w:rPr>
      </w:pPr>
    </w:p>
    <w:p w14:paraId="2D1FD3E8" w14:textId="719642E7" w:rsidR="00494CB1" w:rsidRPr="00DB064B" w:rsidRDefault="00494CB1" w:rsidP="00494CB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  <w:r w:rsidRPr="00494CB1">
        <w:rPr>
          <w:b w:val="0"/>
          <w:bCs w:val="0"/>
          <w:sz w:val="22"/>
          <w:szCs w:val="22"/>
        </w:rPr>
        <w:t xml:space="preserve">During </w:t>
      </w:r>
      <w:r w:rsidRPr="00DB064B">
        <w:rPr>
          <w:b w:val="0"/>
          <w:bCs w:val="0"/>
          <w:sz w:val="22"/>
          <w:szCs w:val="22"/>
        </w:rPr>
        <w:t>the same certification exercise, in addition, a few members provided certi</w:t>
      </w:r>
      <w:r w:rsidR="003D3B37" w:rsidRPr="00DB064B">
        <w:rPr>
          <w:b w:val="0"/>
          <w:bCs w:val="0"/>
          <w:sz w:val="22"/>
          <w:szCs w:val="22"/>
        </w:rPr>
        <w:t xml:space="preserve">ficates for the period </w:t>
      </w:r>
      <w:r w:rsidR="003D3B37" w:rsidRPr="00DB064B">
        <w:rPr>
          <w:bCs w:val="0"/>
          <w:sz w:val="22"/>
          <w:szCs w:val="22"/>
        </w:rPr>
        <w:t>201</w:t>
      </w:r>
      <w:r w:rsidR="00FB1245">
        <w:rPr>
          <w:bCs w:val="0"/>
          <w:sz w:val="22"/>
          <w:szCs w:val="22"/>
        </w:rPr>
        <w:t>7</w:t>
      </w:r>
      <w:r w:rsidRPr="00DB064B">
        <w:rPr>
          <w:b w:val="0"/>
          <w:bCs w:val="0"/>
          <w:sz w:val="22"/>
          <w:szCs w:val="22"/>
        </w:rPr>
        <w:t xml:space="preserve"> </w:t>
      </w:r>
      <w:r w:rsidR="003D3B37" w:rsidRPr="00DB064B">
        <w:rPr>
          <w:b w:val="0"/>
          <w:bCs w:val="0"/>
          <w:sz w:val="22"/>
          <w:szCs w:val="22"/>
        </w:rPr>
        <w:t>for a total of €</w:t>
      </w:r>
      <w:r w:rsidR="003B0EA2" w:rsidRPr="000A60F8">
        <w:rPr>
          <w:bCs w:val="0"/>
          <w:sz w:val="22"/>
          <w:szCs w:val="22"/>
        </w:rPr>
        <w:t>3</w:t>
      </w:r>
      <w:r w:rsidRPr="00DB064B">
        <w:rPr>
          <w:b w:val="0"/>
          <w:bCs w:val="0"/>
          <w:sz w:val="22"/>
          <w:szCs w:val="22"/>
        </w:rPr>
        <w:t xml:space="preserve"> million, leading to an increase of the total IKAA amount to €</w:t>
      </w:r>
      <w:r w:rsidR="003B0EA2" w:rsidRPr="000A60F8">
        <w:rPr>
          <w:bCs w:val="0"/>
          <w:sz w:val="22"/>
          <w:szCs w:val="22"/>
        </w:rPr>
        <w:t>107</w:t>
      </w:r>
      <w:r w:rsidR="003D3B37" w:rsidRPr="00DB064B">
        <w:rPr>
          <w:b w:val="0"/>
          <w:bCs w:val="0"/>
          <w:sz w:val="22"/>
          <w:szCs w:val="22"/>
        </w:rPr>
        <w:t xml:space="preserve"> million for the period </w:t>
      </w:r>
      <w:r w:rsidR="003D3B37" w:rsidRPr="00DB064B">
        <w:rPr>
          <w:bCs w:val="0"/>
          <w:sz w:val="22"/>
          <w:szCs w:val="22"/>
        </w:rPr>
        <w:t>201</w:t>
      </w:r>
      <w:r w:rsidR="00FB1245">
        <w:rPr>
          <w:bCs w:val="0"/>
          <w:sz w:val="22"/>
          <w:szCs w:val="22"/>
        </w:rPr>
        <w:t>7</w:t>
      </w:r>
      <w:r w:rsidR="000A60F8">
        <w:rPr>
          <w:b w:val="0"/>
          <w:bCs w:val="0"/>
          <w:sz w:val="22"/>
          <w:szCs w:val="22"/>
        </w:rPr>
        <w:t>.</w:t>
      </w:r>
    </w:p>
    <w:p w14:paraId="1ED6A68F" w14:textId="77777777" w:rsidR="00494CB1" w:rsidRPr="00DB064B" w:rsidRDefault="00494CB1" w:rsidP="00494CB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2C8B7BE9" w14:textId="77777777" w:rsidR="00BC3C93" w:rsidRDefault="00BC3C93" w:rsidP="00494CB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  <w:r w:rsidRPr="00DB064B">
        <w:rPr>
          <w:b w:val="0"/>
          <w:bCs w:val="0"/>
          <w:sz w:val="22"/>
          <w:szCs w:val="22"/>
        </w:rPr>
        <w:t>Indeed, the FCH 2 JU Regulation sets a minimum IKAA amount of €285 million for the period from 2014 to 2024.</w:t>
      </w:r>
    </w:p>
    <w:p w14:paraId="66C03D0E" w14:textId="77777777" w:rsidR="00BC3C93" w:rsidRDefault="00BC3C93" w:rsidP="00494CB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5982695C" w14:textId="3168D220" w:rsidR="00012CAD" w:rsidRPr="00DB064B" w:rsidRDefault="00494CB1" w:rsidP="00494CB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  <w:r w:rsidRPr="00DB064B">
        <w:rPr>
          <w:b w:val="0"/>
          <w:bCs w:val="0"/>
          <w:sz w:val="22"/>
          <w:szCs w:val="22"/>
        </w:rPr>
        <w:t>We would like to highlight that the final re</w:t>
      </w:r>
      <w:r w:rsidR="003D3B37" w:rsidRPr="00DB064B">
        <w:rPr>
          <w:b w:val="0"/>
          <w:bCs w:val="0"/>
          <w:sz w:val="22"/>
          <w:szCs w:val="22"/>
        </w:rPr>
        <w:t xml:space="preserve">ported figures for the </w:t>
      </w:r>
      <w:r w:rsidRPr="00DB064B">
        <w:rPr>
          <w:b w:val="0"/>
          <w:bCs w:val="0"/>
          <w:sz w:val="22"/>
          <w:szCs w:val="22"/>
        </w:rPr>
        <w:t>period</w:t>
      </w:r>
      <w:r w:rsidR="00BC3C93">
        <w:rPr>
          <w:b w:val="0"/>
          <w:bCs w:val="0"/>
          <w:sz w:val="22"/>
          <w:szCs w:val="22"/>
        </w:rPr>
        <w:t xml:space="preserve"> 2014 – 2018 </w:t>
      </w:r>
      <w:r w:rsidRPr="00DB064B">
        <w:rPr>
          <w:b w:val="0"/>
          <w:bCs w:val="0"/>
          <w:sz w:val="22"/>
          <w:szCs w:val="22"/>
        </w:rPr>
        <w:t xml:space="preserve">amounting to </w:t>
      </w:r>
      <w:r w:rsidRPr="00DB064B">
        <w:rPr>
          <w:bCs w:val="0"/>
          <w:sz w:val="22"/>
          <w:szCs w:val="22"/>
        </w:rPr>
        <w:t xml:space="preserve">a cumulative </w:t>
      </w:r>
      <w:r w:rsidR="000A60F8">
        <w:rPr>
          <w:bCs w:val="0"/>
          <w:sz w:val="22"/>
          <w:szCs w:val="22"/>
        </w:rPr>
        <w:t>certified</w:t>
      </w:r>
      <w:r w:rsidRPr="00DB064B">
        <w:rPr>
          <w:bCs w:val="0"/>
          <w:sz w:val="22"/>
          <w:szCs w:val="22"/>
        </w:rPr>
        <w:t xml:space="preserve"> amount </w:t>
      </w:r>
      <w:r w:rsidR="00BC3C93">
        <w:rPr>
          <w:bCs w:val="0"/>
          <w:sz w:val="22"/>
          <w:szCs w:val="22"/>
        </w:rPr>
        <w:t xml:space="preserve">exceeding </w:t>
      </w:r>
      <w:r w:rsidR="000A60F8" w:rsidRPr="00DB064B">
        <w:rPr>
          <w:b w:val="0"/>
          <w:bCs w:val="0"/>
          <w:sz w:val="22"/>
          <w:szCs w:val="22"/>
        </w:rPr>
        <w:t>€</w:t>
      </w:r>
      <w:r w:rsidR="00BC3C93">
        <w:rPr>
          <w:bCs w:val="0"/>
          <w:sz w:val="22"/>
          <w:szCs w:val="22"/>
        </w:rPr>
        <w:t xml:space="preserve"> </w:t>
      </w:r>
      <w:r w:rsidR="00BC3C93">
        <w:t>580</w:t>
      </w:r>
      <w:r w:rsidRPr="00DB064B">
        <w:rPr>
          <w:bCs w:val="0"/>
          <w:sz w:val="22"/>
          <w:szCs w:val="22"/>
        </w:rPr>
        <w:t xml:space="preserve"> million</w:t>
      </w:r>
      <w:r w:rsidRPr="00DB064B">
        <w:rPr>
          <w:b w:val="0"/>
          <w:bCs w:val="0"/>
          <w:sz w:val="22"/>
          <w:szCs w:val="22"/>
        </w:rPr>
        <w:t xml:space="preserve"> demonstrate a strong commitment of the FCH sector as a whole.</w:t>
      </w:r>
    </w:p>
    <w:p w14:paraId="05DB3BA7" w14:textId="77777777" w:rsidR="000A60F8" w:rsidRDefault="000A60F8" w:rsidP="00B8639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44DA44E9" w14:textId="77777777" w:rsidR="000A60F8" w:rsidRDefault="000A60F8" w:rsidP="00B8639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49C5BC6B" w14:textId="77777777" w:rsidR="000A60F8" w:rsidRDefault="000A60F8" w:rsidP="00B8639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39754052" w14:textId="77777777" w:rsidR="000A60F8" w:rsidRDefault="000A60F8" w:rsidP="00B8639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</w:p>
    <w:p w14:paraId="00792684" w14:textId="70BDB929" w:rsidR="00142570" w:rsidRDefault="004A26A7" w:rsidP="00B86391">
      <w:pPr>
        <w:pStyle w:val="Heading1"/>
        <w:tabs>
          <w:tab w:val="left" w:pos="7623"/>
        </w:tabs>
        <w:ind w:left="-142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In addition, t</w:t>
      </w:r>
      <w:r w:rsidR="00505D5F">
        <w:rPr>
          <w:b w:val="0"/>
          <w:bCs w:val="0"/>
          <w:sz w:val="22"/>
          <w:szCs w:val="22"/>
        </w:rPr>
        <w:t>h</w:t>
      </w:r>
      <w:r>
        <w:rPr>
          <w:b w:val="0"/>
          <w:bCs w:val="0"/>
          <w:sz w:val="22"/>
          <w:szCs w:val="22"/>
        </w:rPr>
        <w:t xml:space="preserve">e sector is determined to continue on the same path by doing its utmost to produce </w:t>
      </w:r>
      <w:r w:rsidR="00A16939">
        <w:rPr>
          <w:b w:val="0"/>
          <w:bCs w:val="0"/>
          <w:sz w:val="22"/>
          <w:szCs w:val="22"/>
        </w:rPr>
        <w:t xml:space="preserve">strong figures for the </w:t>
      </w:r>
      <w:r w:rsidR="00A16939" w:rsidRPr="00DB064B">
        <w:rPr>
          <w:b w:val="0"/>
          <w:bCs w:val="0"/>
          <w:sz w:val="22"/>
          <w:szCs w:val="22"/>
        </w:rPr>
        <w:t xml:space="preserve">next </w:t>
      </w:r>
      <w:r w:rsidR="00A16939" w:rsidRPr="00DB064B">
        <w:rPr>
          <w:bCs w:val="0"/>
          <w:sz w:val="22"/>
          <w:szCs w:val="22"/>
        </w:rPr>
        <w:t>201</w:t>
      </w:r>
      <w:r w:rsidR="00FB1245">
        <w:rPr>
          <w:bCs w:val="0"/>
          <w:sz w:val="22"/>
          <w:szCs w:val="22"/>
        </w:rPr>
        <w:t xml:space="preserve">9 </w:t>
      </w:r>
      <w:r>
        <w:rPr>
          <w:b w:val="0"/>
          <w:bCs w:val="0"/>
          <w:sz w:val="22"/>
          <w:szCs w:val="22"/>
        </w:rPr>
        <w:t>reporting period</w:t>
      </w:r>
      <w:r w:rsidR="00DB064B">
        <w:rPr>
          <w:b w:val="0"/>
          <w:bCs w:val="0"/>
          <w:sz w:val="22"/>
          <w:szCs w:val="22"/>
        </w:rPr>
        <w:t xml:space="preserve"> as per submitted plan figures of €</w:t>
      </w:r>
      <w:r w:rsidR="007736F5">
        <w:rPr>
          <w:bCs w:val="0"/>
          <w:sz w:val="22"/>
          <w:szCs w:val="22"/>
        </w:rPr>
        <w:t>198,49</w:t>
      </w:r>
      <w:r w:rsidR="00DB064B">
        <w:rPr>
          <w:b w:val="0"/>
          <w:bCs w:val="0"/>
          <w:sz w:val="22"/>
          <w:szCs w:val="22"/>
        </w:rPr>
        <w:t xml:space="preserve"> million</w:t>
      </w:r>
      <w:r>
        <w:rPr>
          <w:b w:val="0"/>
          <w:bCs w:val="0"/>
          <w:sz w:val="22"/>
          <w:szCs w:val="22"/>
        </w:rPr>
        <w:t>.</w:t>
      </w:r>
    </w:p>
    <w:p w14:paraId="42C74921" w14:textId="26CBC64C" w:rsidR="0000142E" w:rsidRPr="0000142E" w:rsidRDefault="0000142E" w:rsidP="00B86391">
      <w:pPr>
        <w:pStyle w:val="Heading1"/>
        <w:tabs>
          <w:tab w:val="left" w:pos="7623"/>
        </w:tabs>
        <w:ind w:left="-142"/>
        <w:rPr>
          <w:b w:val="0"/>
          <w:sz w:val="22"/>
          <w:szCs w:val="22"/>
          <w:highlight w:val="lightGray"/>
          <w:shd w:val="clear" w:color="auto" w:fill="DBE5F1"/>
        </w:rPr>
      </w:pPr>
    </w:p>
    <w:p w14:paraId="2D09B880" w14:textId="46F5A405" w:rsidR="00AC6F57" w:rsidRDefault="001E4416" w:rsidP="00AC6F57">
      <w:pPr>
        <w:pStyle w:val="BodyText"/>
        <w:ind w:left="-142" w:right="101"/>
        <w:jc w:val="both"/>
        <w:rPr>
          <w:sz w:val="22"/>
          <w:szCs w:val="22"/>
        </w:rPr>
      </w:pPr>
      <w:r w:rsidRPr="00CB7169">
        <w:rPr>
          <w:sz w:val="22"/>
          <w:szCs w:val="22"/>
        </w:rPr>
        <w:t>For any questions regarding IKAA do not hesitate to contact both FCH</w:t>
      </w:r>
      <w:r w:rsidR="00B86391" w:rsidRPr="00CB7169">
        <w:rPr>
          <w:sz w:val="22"/>
          <w:szCs w:val="22"/>
        </w:rPr>
        <w:t xml:space="preserve"> </w:t>
      </w:r>
      <w:r w:rsidRPr="00CB7169">
        <w:rPr>
          <w:sz w:val="22"/>
          <w:szCs w:val="22"/>
        </w:rPr>
        <w:t xml:space="preserve">2 JU </w:t>
      </w:r>
      <w:r w:rsidR="001A0F41" w:rsidRPr="00CB7169">
        <w:rPr>
          <w:sz w:val="22"/>
          <w:szCs w:val="22"/>
        </w:rPr>
        <w:t xml:space="preserve">Members </w:t>
      </w:r>
      <w:r w:rsidRPr="00CB7169">
        <w:rPr>
          <w:sz w:val="22"/>
          <w:szCs w:val="22"/>
        </w:rPr>
        <w:t xml:space="preserve">using details below: </w:t>
      </w:r>
    </w:p>
    <w:p w14:paraId="07552791" w14:textId="77777777" w:rsidR="00AC6F57" w:rsidRPr="00CB7169" w:rsidRDefault="00AC6F57" w:rsidP="0000142E">
      <w:pPr>
        <w:pStyle w:val="BodyText"/>
        <w:ind w:right="101"/>
        <w:jc w:val="both"/>
        <w:rPr>
          <w:sz w:val="22"/>
          <w:szCs w:val="22"/>
        </w:rPr>
      </w:pPr>
    </w:p>
    <w:p w14:paraId="7B84AAF8" w14:textId="255F8CE3" w:rsidR="001E4416" w:rsidRPr="00CB7169" w:rsidRDefault="001E4416" w:rsidP="00B86391">
      <w:pPr>
        <w:pStyle w:val="BodyText"/>
        <w:ind w:left="116" w:right="101"/>
        <w:jc w:val="both"/>
        <w:rPr>
          <w:sz w:val="22"/>
          <w:szCs w:val="22"/>
          <w:u w:val="single"/>
        </w:rPr>
      </w:pPr>
    </w:p>
    <w:p w14:paraId="2B9FF0F1" w14:textId="14C827AC" w:rsidR="001E4416" w:rsidRPr="00CB7169" w:rsidRDefault="001E4416" w:rsidP="00B86391">
      <w:pPr>
        <w:pStyle w:val="BodyText"/>
        <w:ind w:left="116" w:right="101"/>
        <w:jc w:val="both"/>
        <w:rPr>
          <w:sz w:val="22"/>
          <w:szCs w:val="22"/>
          <w:u w:val="single"/>
        </w:rPr>
      </w:pPr>
    </w:p>
    <w:p w14:paraId="31EB2957" w14:textId="44534D8B" w:rsidR="001E4416" w:rsidRPr="00CB7169" w:rsidRDefault="001E4416" w:rsidP="00B86391">
      <w:pPr>
        <w:pStyle w:val="BodyText"/>
        <w:ind w:left="116" w:right="101"/>
        <w:jc w:val="both"/>
        <w:rPr>
          <w:sz w:val="22"/>
          <w:szCs w:val="22"/>
          <w:u w:val="single"/>
        </w:rPr>
      </w:pPr>
    </w:p>
    <w:p w14:paraId="259DB5A4" w14:textId="64D49A1A" w:rsidR="001E4416" w:rsidRPr="00CB7169" w:rsidRDefault="001E4416" w:rsidP="00B86391">
      <w:pPr>
        <w:pStyle w:val="BodyText"/>
        <w:ind w:left="116" w:right="101"/>
        <w:jc w:val="both"/>
        <w:rPr>
          <w:sz w:val="22"/>
          <w:szCs w:val="22"/>
          <w:u w:val="single"/>
        </w:rPr>
      </w:pPr>
    </w:p>
    <w:p w14:paraId="2E4E0F8C" w14:textId="5DA6A422" w:rsidR="001E4416" w:rsidRPr="00CB7169" w:rsidRDefault="00AC6F57" w:rsidP="00B86391">
      <w:pPr>
        <w:pStyle w:val="BodyText"/>
        <w:ind w:left="-142"/>
        <w:jc w:val="both"/>
        <w:rPr>
          <w:sz w:val="22"/>
          <w:szCs w:val="22"/>
        </w:rPr>
      </w:pPr>
      <w:r w:rsidRPr="00CB716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42496" wp14:editId="58610292">
                <wp:simplePos x="0" y="0"/>
                <wp:positionH relativeFrom="column">
                  <wp:posOffset>899795</wp:posOffset>
                </wp:positionH>
                <wp:positionV relativeFrom="paragraph">
                  <wp:posOffset>4445</wp:posOffset>
                </wp:positionV>
                <wp:extent cx="2926080" cy="2659380"/>
                <wp:effectExtent l="0" t="0" r="2667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265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9AD39" w14:textId="1768DA41" w:rsidR="00AC6F57" w:rsidRDefault="00AC6F57" w:rsidP="0000142E">
                            <w:pPr>
                              <w:pStyle w:val="BodyText"/>
                              <w:ind w:right="10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C899BF9" w14:textId="77AE932B" w:rsidR="00AC6F57" w:rsidRDefault="00AC6F57" w:rsidP="00AC6F57">
                            <w:pPr>
                              <w:pStyle w:val="BodyText"/>
                              <w:spacing w:after="120"/>
                              <w:ind w:right="10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Hydrogen Europe Research</w:t>
                            </w:r>
                          </w:p>
                          <w:p w14:paraId="20554952" w14:textId="3C066DD2" w:rsidR="00AC6F57" w:rsidRDefault="00AC6F57" w:rsidP="00AC6F57">
                            <w:pPr>
                              <w:pStyle w:val="BodyText"/>
                              <w:spacing w:after="120"/>
                              <w:ind w:right="102"/>
                              <w:rPr>
                                <w:sz w:val="20"/>
                                <w:szCs w:val="20"/>
                              </w:rPr>
                            </w:pPr>
                            <w:r w:rsidRPr="00AC6F57">
                              <w:rPr>
                                <w:sz w:val="20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9" w:history="1">
                              <w:r w:rsidRPr="00AC6F5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www.hydrogeneurope.eu</w:t>
                              </w:r>
                            </w:hyperlink>
                          </w:p>
                          <w:p w14:paraId="05448995" w14:textId="5466A9CB" w:rsidR="002068A7" w:rsidRDefault="001464F2" w:rsidP="00AC6F57">
                            <w:pPr>
                              <w:pStyle w:val="BodyText"/>
                              <w:spacing w:after="120"/>
                              <w:ind w:right="102"/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Email: </w:t>
                            </w:r>
                            <w:hyperlink r:id="rId10" w:history="1">
                              <w:r w:rsidRPr="009D310E">
                                <w:rPr>
                                  <w:rStyle w:val="Hyperlink"/>
                                  <w:sz w:val="20"/>
                                  <w:szCs w:val="20"/>
                                  <w:lang w:val="fr-BE"/>
                                </w:rPr>
                                <w:t>secretariat@hydrogeneuroperesearch.eu</w:t>
                              </w:r>
                            </w:hyperlink>
                          </w:p>
                          <w:p w14:paraId="09F9233B" w14:textId="1BCCF883" w:rsidR="00AC6F57" w:rsidRPr="005658D2" w:rsidRDefault="00422A03" w:rsidP="00AC6F57">
                            <w:pPr>
                              <w:pStyle w:val="BodyText"/>
                              <w:spacing w:after="120"/>
                              <w:ind w:right="102"/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658D2">
                              <w:rPr>
                                <w:sz w:val="20"/>
                                <w:szCs w:val="20"/>
                                <w:lang w:val="fr-BE"/>
                              </w:rPr>
                              <w:t>Tel: +</w:t>
                            </w:r>
                            <w:r w:rsidR="00115123" w:rsidRPr="005658D2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32 2 </w:t>
                            </w:r>
                            <w:r w:rsidR="00211E87" w:rsidRPr="005658D2">
                              <w:rPr>
                                <w:sz w:val="20"/>
                                <w:szCs w:val="20"/>
                                <w:lang w:val="fr-BE"/>
                              </w:rPr>
                              <w:t>51 305 77</w:t>
                            </w:r>
                          </w:p>
                          <w:p w14:paraId="40235BCC" w14:textId="5CF3A476" w:rsidR="00422A03" w:rsidRPr="005658D2" w:rsidRDefault="00422A03" w:rsidP="00AC6F57">
                            <w:pPr>
                              <w:pStyle w:val="BodyText"/>
                              <w:spacing w:after="120"/>
                              <w:ind w:right="102"/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658D2">
                              <w:rPr>
                                <w:sz w:val="18"/>
                                <w:szCs w:val="18"/>
                                <w:lang w:val="fr-BE"/>
                              </w:rPr>
                              <w:br/>
                            </w:r>
                          </w:p>
                          <w:p w14:paraId="1B758F73" w14:textId="77777777" w:rsidR="00AC6F57" w:rsidRDefault="00AC6F57" w:rsidP="00AC6F57">
                            <w:pPr>
                              <w:pStyle w:val="BodyText"/>
                              <w:spacing w:after="120"/>
                              <w:ind w:right="101"/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11512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Hydrogen Europe </w:t>
                            </w:r>
                            <w:r w:rsidRPr="0011512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  <w:r w:rsidRPr="00115123">
                              <w:rPr>
                                <w:b/>
                                <w:sz w:val="20"/>
                                <w:szCs w:val="20"/>
                                <w:lang w:val="de-DE"/>
                              </w:rPr>
                              <w:tab/>
                            </w:r>
                          </w:p>
                          <w:p w14:paraId="4E37309E" w14:textId="71E6228F" w:rsidR="00AC6F57" w:rsidRDefault="00AC6F57" w:rsidP="00AC6F57">
                            <w:pPr>
                              <w:pStyle w:val="BodyText"/>
                              <w:spacing w:after="120"/>
                              <w:ind w:right="101"/>
                              <w:rPr>
                                <w:sz w:val="20"/>
                                <w:szCs w:val="20"/>
                              </w:rPr>
                            </w:pPr>
                            <w:r w:rsidRPr="00AC6F57">
                              <w:rPr>
                                <w:sz w:val="20"/>
                                <w:szCs w:val="20"/>
                              </w:rPr>
                              <w:t xml:space="preserve">Web: </w:t>
                            </w:r>
                            <w:hyperlink r:id="rId11" w:history="1">
                              <w:r w:rsidRPr="00AC6F5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www.hydrogeneurope.eu</w:t>
                              </w:r>
                            </w:hyperlink>
                            <w:r w:rsidRPr="00AC6F5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C6F5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65106D3" w14:textId="24C8B13A" w:rsidR="00AC6F57" w:rsidRPr="00AC6F57" w:rsidRDefault="00AC6F57" w:rsidP="00AC6F57">
                            <w:pPr>
                              <w:pStyle w:val="BodyText"/>
                              <w:spacing w:after="120"/>
                              <w:ind w:right="101"/>
                              <w:rPr>
                                <w:sz w:val="20"/>
                                <w:szCs w:val="20"/>
                              </w:rPr>
                            </w:pPr>
                            <w:r w:rsidRPr="00AC6F57">
                              <w:rPr>
                                <w:sz w:val="20"/>
                                <w:szCs w:val="20"/>
                              </w:rPr>
                              <w:t xml:space="preserve">Email: </w:t>
                            </w:r>
                            <w:hyperlink r:id="rId12" w:history="1">
                              <w:r w:rsidRPr="00AC6F57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secretariat@hydrogeneurope.eu</w:t>
                              </w:r>
                            </w:hyperlink>
                            <w:r w:rsidRPr="00AC6F57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7857C99" w14:textId="5D7F95EE" w:rsidR="00422A03" w:rsidRPr="00AC6F57" w:rsidRDefault="00AC6F57" w:rsidP="00AC6F57">
                            <w:pPr>
                              <w:spacing w:after="120"/>
                            </w:pPr>
                            <w:r w:rsidRPr="00AC6F57">
                              <w:rPr>
                                <w:sz w:val="20"/>
                                <w:szCs w:val="20"/>
                              </w:rPr>
                              <w:t>Tel: +32 2 54 087 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24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0.85pt;margin-top:.35pt;width:230.4pt;height:20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SwKQIAAFE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">
                <v:textbox>
                  <w:txbxContent>
                    <w:p w14:paraId="0559AD39" w14:textId="1768DA41" w:rsidR="00AC6F57" w:rsidRDefault="00AC6F57" w:rsidP="0000142E">
                      <w:pPr>
                        <w:pStyle w:val="BodyText"/>
                        <w:ind w:right="101"/>
                        <w:rPr>
                          <w:sz w:val="20"/>
                          <w:szCs w:val="20"/>
                        </w:rPr>
                      </w:pPr>
                    </w:p>
                    <w:p w14:paraId="2C899BF9" w14:textId="77AE932B" w:rsidR="00AC6F57" w:rsidRDefault="00AC6F57" w:rsidP="00AC6F57">
                      <w:pPr>
                        <w:pStyle w:val="BodyText"/>
                        <w:spacing w:after="120"/>
                        <w:ind w:right="10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Hydrogen Europe Research</w:t>
                      </w:r>
                    </w:p>
                    <w:p w14:paraId="20554952" w14:textId="3C066DD2" w:rsidR="00AC6F57" w:rsidRDefault="00AC6F57" w:rsidP="00AC6F57">
                      <w:pPr>
                        <w:pStyle w:val="BodyText"/>
                        <w:spacing w:after="120"/>
                        <w:ind w:right="102"/>
                        <w:rPr>
                          <w:sz w:val="20"/>
                          <w:szCs w:val="20"/>
                        </w:rPr>
                      </w:pPr>
                      <w:r w:rsidRPr="00AC6F57">
                        <w:rPr>
                          <w:sz w:val="20"/>
                          <w:szCs w:val="20"/>
                        </w:rPr>
                        <w:t>Web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Pr="00AC6F57">
                          <w:rPr>
                            <w:rStyle w:val="Hyperlink"/>
                            <w:sz w:val="20"/>
                            <w:szCs w:val="20"/>
                          </w:rPr>
                          <w:t>www.hydrogeneurope.eu</w:t>
                        </w:r>
                      </w:hyperlink>
                    </w:p>
                    <w:p w14:paraId="05448995" w14:textId="5466A9CB" w:rsidR="002068A7" w:rsidRDefault="001464F2" w:rsidP="00AC6F57">
                      <w:pPr>
                        <w:pStyle w:val="BodyText"/>
                        <w:spacing w:after="120"/>
                        <w:ind w:right="102"/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sz w:val="20"/>
                          <w:szCs w:val="20"/>
                          <w:lang w:val="fr-BE"/>
                        </w:rPr>
                        <w:t xml:space="preserve">Email: </w:t>
                      </w:r>
                      <w:hyperlink r:id="rId14" w:history="1">
                        <w:r w:rsidRPr="009D310E">
                          <w:rPr>
                            <w:rStyle w:val="Hyperlink"/>
                            <w:sz w:val="20"/>
                            <w:szCs w:val="20"/>
                            <w:lang w:val="fr-BE"/>
                          </w:rPr>
                          <w:t>secretariat@hydrogeneuroperesearch.eu</w:t>
                        </w:r>
                      </w:hyperlink>
                    </w:p>
                    <w:p w14:paraId="09F9233B" w14:textId="1BCCF883" w:rsidR="00AC6F57" w:rsidRPr="005658D2" w:rsidRDefault="00422A03" w:rsidP="00AC6F57">
                      <w:pPr>
                        <w:pStyle w:val="BodyText"/>
                        <w:spacing w:after="120"/>
                        <w:ind w:right="102"/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5658D2">
                        <w:rPr>
                          <w:sz w:val="20"/>
                          <w:szCs w:val="20"/>
                          <w:lang w:val="fr-BE"/>
                        </w:rPr>
                        <w:t>Tel: +</w:t>
                      </w:r>
                      <w:r w:rsidR="00115123" w:rsidRPr="005658D2">
                        <w:rPr>
                          <w:sz w:val="20"/>
                          <w:szCs w:val="20"/>
                          <w:lang w:val="fr-BE"/>
                        </w:rPr>
                        <w:t xml:space="preserve">32 2 </w:t>
                      </w:r>
                      <w:r w:rsidR="00211E87" w:rsidRPr="005658D2">
                        <w:rPr>
                          <w:sz w:val="20"/>
                          <w:szCs w:val="20"/>
                          <w:lang w:val="fr-BE"/>
                        </w:rPr>
                        <w:t>51 305 77</w:t>
                      </w:r>
                    </w:p>
                    <w:p w14:paraId="40235BCC" w14:textId="5CF3A476" w:rsidR="00422A03" w:rsidRPr="005658D2" w:rsidRDefault="00422A03" w:rsidP="00AC6F57">
                      <w:pPr>
                        <w:pStyle w:val="BodyText"/>
                        <w:spacing w:after="120"/>
                        <w:ind w:right="102"/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5658D2">
                        <w:rPr>
                          <w:sz w:val="18"/>
                          <w:szCs w:val="18"/>
                          <w:lang w:val="fr-BE"/>
                        </w:rPr>
                        <w:br/>
                      </w:r>
                    </w:p>
                    <w:p w14:paraId="1B758F73" w14:textId="77777777" w:rsidR="00AC6F57" w:rsidRDefault="00AC6F57" w:rsidP="00AC6F57">
                      <w:pPr>
                        <w:pStyle w:val="BodyText"/>
                        <w:spacing w:after="120"/>
                        <w:ind w:right="101"/>
                        <w:rPr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115123">
                        <w:rPr>
                          <w:b/>
                          <w:sz w:val="20"/>
                          <w:szCs w:val="20"/>
                          <w:lang w:val="de-DE"/>
                        </w:rPr>
                        <w:t xml:space="preserve">Hydrogen Europe </w:t>
                      </w:r>
                      <w:r w:rsidRPr="00115123">
                        <w:rPr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  <w:r w:rsidRPr="00115123">
                        <w:rPr>
                          <w:b/>
                          <w:sz w:val="20"/>
                          <w:szCs w:val="20"/>
                          <w:lang w:val="de-DE"/>
                        </w:rPr>
                        <w:tab/>
                      </w:r>
                    </w:p>
                    <w:p w14:paraId="4E37309E" w14:textId="71E6228F" w:rsidR="00AC6F57" w:rsidRDefault="00AC6F57" w:rsidP="00AC6F57">
                      <w:pPr>
                        <w:pStyle w:val="BodyText"/>
                        <w:spacing w:after="120"/>
                        <w:ind w:right="101"/>
                        <w:rPr>
                          <w:sz w:val="20"/>
                          <w:szCs w:val="20"/>
                        </w:rPr>
                      </w:pPr>
                      <w:r w:rsidRPr="00AC6F57">
                        <w:rPr>
                          <w:sz w:val="20"/>
                          <w:szCs w:val="20"/>
                        </w:rPr>
                        <w:t xml:space="preserve">Web: </w:t>
                      </w:r>
                      <w:hyperlink r:id="rId15" w:history="1">
                        <w:r w:rsidRPr="00AC6F57">
                          <w:rPr>
                            <w:rStyle w:val="Hyperlink"/>
                            <w:sz w:val="20"/>
                            <w:szCs w:val="20"/>
                          </w:rPr>
                          <w:t>www.hydrogeneurope.eu</w:t>
                        </w:r>
                      </w:hyperlink>
                      <w:r w:rsidRPr="00AC6F57">
                        <w:rPr>
                          <w:sz w:val="20"/>
                          <w:szCs w:val="20"/>
                        </w:rPr>
                        <w:tab/>
                      </w:r>
                      <w:r w:rsidRPr="00AC6F57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365106D3" w14:textId="24C8B13A" w:rsidR="00AC6F57" w:rsidRPr="00AC6F57" w:rsidRDefault="00AC6F57" w:rsidP="00AC6F57">
                      <w:pPr>
                        <w:pStyle w:val="BodyText"/>
                        <w:spacing w:after="120"/>
                        <w:ind w:right="101"/>
                        <w:rPr>
                          <w:sz w:val="20"/>
                          <w:szCs w:val="20"/>
                        </w:rPr>
                      </w:pPr>
                      <w:r w:rsidRPr="00AC6F57">
                        <w:rPr>
                          <w:sz w:val="20"/>
                          <w:szCs w:val="20"/>
                        </w:rPr>
                        <w:t xml:space="preserve">Email: </w:t>
                      </w:r>
                      <w:hyperlink r:id="rId16" w:history="1">
                        <w:r w:rsidRPr="00AC6F57">
                          <w:rPr>
                            <w:rStyle w:val="Hyperlink"/>
                            <w:sz w:val="20"/>
                            <w:szCs w:val="20"/>
                          </w:rPr>
                          <w:t>secretariat@hydrogeneurope.eu</w:t>
                        </w:r>
                      </w:hyperlink>
                      <w:r w:rsidRPr="00AC6F57">
                        <w:rPr>
                          <w:sz w:val="20"/>
                          <w:szCs w:val="20"/>
                        </w:rPr>
                        <w:tab/>
                      </w:r>
                    </w:p>
                    <w:p w14:paraId="27857C99" w14:textId="5D7F95EE" w:rsidR="00422A03" w:rsidRPr="00AC6F57" w:rsidRDefault="00AC6F57" w:rsidP="00AC6F57">
                      <w:pPr>
                        <w:spacing w:after="120"/>
                      </w:pPr>
                      <w:r w:rsidRPr="00AC6F57">
                        <w:rPr>
                          <w:sz w:val="20"/>
                          <w:szCs w:val="20"/>
                        </w:rPr>
                        <w:t>Tel: +32 2 54 087 75</w:t>
                      </w:r>
                    </w:p>
                  </w:txbxContent>
                </v:textbox>
              </v:shape>
            </w:pict>
          </mc:Fallback>
        </mc:AlternateContent>
      </w:r>
    </w:p>
    <w:p w14:paraId="03B745D4" w14:textId="77777777" w:rsidR="00DA2C07" w:rsidRPr="00CB7169" w:rsidRDefault="00DA2C07" w:rsidP="00B86391">
      <w:pPr>
        <w:pStyle w:val="BodyText"/>
        <w:ind w:right="141"/>
        <w:jc w:val="both"/>
        <w:rPr>
          <w:sz w:val="22"/>
          <w:szCs w:val="22"/>
        </w:rPr>
      </w:pPr>
    </w:p>
    <w:p w14:paraId="58F9D49C" w14:textId="543F9FD1" w:rsidR="00F05EA9" w:rsidRPr="00CB7169" w:rsidRDefault="00F05EA9">
      <w:pPr>
        <w:jc w:val="both"/>
      </w:pPr>
    </w:p>
    <w:sectPr w:rsidR="00F05EA9" w:rsidRPr="00CB7169" w:rsidSect="00D401A7">
      <w:headerReference w:type="default" r:id="rId17"/>
      <w:footerReference w:type="default" r:id="rId18"/>
      <w:pgSz w:w="16838" w:h="11906" w:orient="landscape"/>
      <w:pgMar w:top="1644" w:right="851" w:bottom="851" w:left="851" w:header="709" w:footer="709" w:gutter="0"/>
      <w:cols w:num="2" w:space="5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5E507" w14:textId="77777777" w:rsidR="00614A44" w:rsidRDefault="00614A44" w:rsidP="00DA2C07">
      <w:r>
        <w:separator/>
      </w:r>
    </w:p>
  </w:endnote>
  <w:endnote w:type="continuationSeparator" w:id="0">
    <w:p w14:paraId="497AD0E4" w14:textId="77777777" w:rsidR="00614A44" w:rsidRDefault="00614A44" w:rsidP="00DA2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9518289"/>
      <w:docPartObj>
        <w:docPartGallery w:val="Page Numbers (Bottom of Page)"/>
        <w:docPartUnique/>
      </w:docPartObj>
    </w:sdtPr>
    <w:sdtEndPr/>
    <w:sdtContent>
      <w:p w14:paraId="3F0DFA8A" w14:textId="7F4C9B7E" w:rsidR="00422A03" w:rsidRDefault="00422A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28A" w:rsidRPr="0019728A">
          <w:rPr>
            <w:noProof/>
            <w:lang w:val="de-DE"/>
          </w:rPr>
          <w:t>3</w:t>
        </w:r>
        <w:r>
          <w:fldChar w:fldCharType="end"/>
        </w:r>
      </w:p>
    </w:sdtContent>
  </w:sdt>
  <w:p w14:paraId="16515002" w14:textId="77777777" w:rsidR="00422A03" w:rsidRDefault="00422A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49EDE" w14:textId="77777777" w:rsidR="00614A44" w:rsidRDefault="00614A44" w:rsidP="00DA2C07">
      <w:r>
        <w:separator/>
      </w:r>
    </w:p>
  </w:footnote>
  <w:footnote w:type="continuationSeparator" w:id="0">
    <w:p w14:paraId="518BE5AA" w14:textId="77777777" w:rsidR="00614A44" w:rsidRDefault="00614A44" w:rsidP="00DA2C07">
      <w:r>
        <w:continuationSeparator/>
      </w:r>
    </w:p>
  </w:footnote>
  <w:footnote w:id="1">
    <w:p w14:paraId="16C68EC5" w14:textId="2B9908EC" w:rsidR="00422A03" w:rsidRPr="00DA2C07" w:rsidRDefault="00422A0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401A7">
        <w:rPr>
          <w:sz w:val="18"/>
          <w:szCs w:val="18"/>
        </w:rPr>
        <w:t>Council Regulation (EU) No 559/2014of 6 May 2014 establishing the Fuel Cells and Hydrogen 2 Joint Undertaking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5C493" w14:textId="0942632E" w:rsidR="00422A03" w:rsidRDefault="00060BEA">
    <w:pPr>
      <w:pStyle w:val="Header"/>
    </w:pPr>
    <w:r w:rsidRPr="00060BEA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16D85FD8" wp14:editId="184AE80D">
          <wp:simplePos x="0" y="0"/>
          <wp:positionH relativeFrom="margin">
            <wp:posOffset>7559040</wp:posOffset>
          </wp:positionH>
          <wp:positionV relativeFrom="paragraph">
            <wp:posOffset>-198755</wp:posOffset>
          </wp:positionV>
          <wp:extent cx="2038350" cy="606425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A03" w:rsidRPr="00DA2C07">
      <w:rPr>
        <w:noProof/>
        <w:lang w:eastAsia="en-GB"/>
      </w:rPr>
      <w:drawing>
        <wp:anchor distT="0" distB="0" distL="0" distR="0" simplePos="0" relativeHeight="251661312" behindDoc="1" locked="0" layoutInCell="1" allowOverlap="1" wp14:anchorId="044862D8" wp14:editId="6120AEDA">
          <wp:simplePos x="0" y="0"/>
          <wp:positionH relativeFrom="page">
            <wp:posOffset>587375</wp:posOffset>
          </wp:positionH>
          <wp:positionV relativeFrom="page">
            <wp:posOffset>186055</wp:posOffset>
          </wp:positionV>
          <wp:extent cx="1477645" cy="563880"/>
          <wp:effectExtent l="0" t="0" r="0" b="0"/>
          <wp:wrapNone/>
          <wp:docPr id="1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7645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A03" w:rsidRPr="00DA2C07">
      <w:rPr>
        <w:noProof/>
        <w:lang w:eastAsia="en-GB"/>
      </w:rPr>
      <w:drawing>
        <wp:anchor distT="0" distB="0" distL="0" distR="0" simplePos="0" relativeHeight="251659264" behindDoc="1" locked="0" layoutInCell="1" allowOverlap="1" wp14:anchorId="71A3DA7E" wp14:editId="150C4212">
          <wp:simplePos x="0" y="0"/>
          <wp:positionH relativeFrom="page">
            <wp:posOffset>4798060</wp:posOffset>
          </wp:positionH>
          <wp:positionV relativeFrom="page">
            <wp:posOffset>113665</wp:posOffset>
          </wp:positionV>
          <wp:extent cx="746760" cy="701675"/>
          <wp:effectExtent l="0" t="0" r="0" b="317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74676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A03">
      <w:ptab w:relativeTo="margin" w:alignment="center" w:leader="none"/>
    </w:r>
    <w:r w:rsidR="00422A03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6C7"/>
    <w:multiLevelType w:val="hybridMultilevel"/>
    <w:tmpl w:val="D3B443F6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7A63251"/>
    <w:multiLevelType w:val="hybridMultilevel"/>
    <w:tmpl w:val="2092C66A"/>
    <w:lvl w:ilvl="0" w:tplc="C39CF150">
      <w:start w:val="243"/>
      <w:numFmt w:val="bullet"/>
      <w:lvlText w:val=""/>
      <w:lvlJc w:val="left"/>
      <w:pPr>
        <w:ind w:left="502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2" w15:restartNumberingAfterBreak="0">
    <w:nsid w:val="3D49547A"/>
    <w:multiLevelType w:val="hybridMultilevel"/>
    <w:tmpl w:val="08B68FB0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3" w15:restartNumberingAfterBreak="0">
    <w:nsid w:val="461E1F9B"/>
    <w:multiLevelType w:val="hybridMultilevel"/>
    <w:tmpl w:val="71E252A0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384BB3"/>
    <w:multiLevelType w:val="hybridMultilevel"/>
    <w:tmpl w:val="9F564836"/>
    <w:lvl w:ilvl="0" w:tplc="C39CF150">
      <w:start w:val="243"/>
      <w:numFmt w:val="bullet"/>
      <w:lvlText w:val=""/>
      <w:lvlJc w:val="left"/>
      <w:pPr>
        <w:ind w:left="834" w:hanging="360"/>
      </w:pPr>
      <w:rPr>
        <w:rFonts w:ascii="Symbol" w:eastAsia="Arial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C5B6E"/>
    <w:multiLevelType w:val="hybridMultilevel"/>
    <w:tmpl w:val="8FF0869E"/>
    <w:lvl w:ilvl="0" w:tplc="08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6" w15:restartNumberingAfterBreak="0">
    <w:nsid w:val="5667657E"/>
    <w:multiLevelType w:val="hybridMultilevel"/>
    <w:tmpl w:val="7B1C6112"/>
    <w:lvl w:ilvl="0" w:tplc="EF6CCB1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BA1641"/>
    <w:multiLevelType w:val="hybridMultilevel"/>
    <w:tmpl w:val="E3B88C78"/>
    <w:lvl w:ilvl="0" w:tplc="0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C07"/>
    <w:rsid w:val="0000142E"/>
    <w:rsid w:val="00012CAD"/>
    <w:rsid w:val="00023C98"/>
    <w:rsid w:val="00057649"/>
    <w:rsid w:val="00060BEA"/>
    <w:rsid w:val="00061152"/>
    <w:rsid w:val="000713CB"/>
    <w:rsid w:val="00087C9C"/>
    <w:rsid w:val="000A60F8"/>
    <w:rsid w:val="000C0F49"/>
    <w:rsid w:val="000D1F41"/>
    <w:rsid w:val="001002C1"/>
    <w:rsid w:val="00115123"/>
    <w:rsid w:val="0011720A"/>
    <w:rsid w:val="00142570"/>
    <w:rsid w:val="00145FA8"/>
    <w:rsid w:val="001464F2"/>
    <w:rsid w:val="00154B75"/>
    <w:rsid w:val="001563E8"/>
    <w:rsid w:val="00165CCC"/>
    <w:rsid w:val="0018206D"/>
    <w:rsid w:val="0019728A"/>
    <w:rsid w:val="001A0F41"/>
    <w:rsid w:val="001B7871"/>
    <w:rsid w:val="001C5D0E"/>
    <w:rsid w:val="001C6870"/>
    <w:rsid w:val="001D02E8"/>
    <w:rsid w:val="001D62EB"/>
    <w:rsid w:val="001E4416"/>
    <w:rsid w:val="001F34F9"/>
    <w:rsid w:val="002068A7"/>
    <w:rsid w:val="00211E87"/>
    <w:rsid w:val="00224220"/>
    <w:rsid w:val="0022661C"/>
    <w:rsid w:val="00233EE8"/>
    <w:rsid w:val="00252FEF"/>
    <w:rsid w:val="00254AA3"/>
    <w:rsid w:val="002622F2"/>
    <w:rsid w:val="00283A4E"/>
    <w:rsid w:val="002934BA"/>
    <w:rsid w:val="002A2962"/>
    <w:rsid w:val="002C0D37"/>
    <w:rsid w:val="002C621C"/>
    <w:rsid w:val="002D31FB"/>
    <w:rsid w:val="002E04CD"/>
    <w:rsid w:val="002E2174"/>
    <w:rsid w:val="003007A1"/>
    <w:rsid w:val="00316C87"/>
    <w:rsid w:val="00317B63"/>
    <w:rsid w:val="003221B7"/>
    <w:rsid w:val="0032785E"/>
    <w:rsid w:val="003319F7"/>
    <w:rsid w:val="00340CBB"/>
    <w:rsid w:val="00340DDF"/>
    <w:rsid w:val="003470CE"/>
    <w:rsid w:val="00356242"/>
    <w:rsid w:val="00370719"/>
    <w:rsid w:val="00395FC0"/>
    <w:rsid w:val="003B0B22"/>
    <w:rsid w:val="003B0EA2"/>
    <w:rsid w:val="003B5A3F"/>
    <w:rsid w:val="003C1062"/>
    <w:rsid w:val="003D3B37"/>
    <w:rsid w:val="003D6257"/>
    <w:rsid w:val="003F7B84"/>
    <w:rsid w:val="00405292"/>
    <w:rsid w:val="00405576"/>
    <w:rsid w:val="00406450"/>
    <w:rsid w:val="00422A03"/>
    <w:rsid w:val="00422EC7"/>
    <w:rsid w:val="00461C61"/>
    <w:rsid w:val="0046517E"/>
    <w:rsid w:val="00471198"/>
    <w:rsid w:val="00482CCD"/>
    <w:rsid w:val="00482D4F"/>
    <w:rsid w:val="00494CB1"/>
    <w:rsid w:val="004A0021"/>
    <w:rsid w:val="004A26A7"/>
    <w:rsid w:val="004A782E"/>
    <w:rsid w:val="004D250F"/>
    <w:rsid w:val="004E01DE"/>
    <w:rsid w:val="004E40C2"/>
    <w:rsid w:val="00505D5F"/>
    <w:rsid w:val="00515943"/>
    <w:rsid w:val="00544C76"/>
    <w:rsid w:val="0055145E"/>
    <w:rsid w:val="005651F0"/>
    <w:rsid w:val="005658D2"/>
    <w:rsid w:val="00566A9D"/>
    <w:rsid w:val="005A3B25"/>
    <w:rsid w:val="005B6B73"/>
    <w:rsid w:val="005C5A80"/>
    <w:rsid w:val="005D17E7"/>
    <w:rsid w:val="005D4AA3"/>
    <w:rsid w:val="005E3A1A"/>
    <w:rsid w:val="005E6EBC"/>
    <w:rsid w:val="00614A44"/>
    <w:rsid w:val="00630FB5"/>
    <w:rsid w:val="00672DAD"/>
    <w:rsid w:val="00673D0A"/>
    <w:rsid w:val="006974D4"/>
    <w:rsid w:val="006B015E"/>
    <w:rsid w:val="006B16BC"/>
    <w:rsid w:val="006C02CD"/>
    <w:rsid w:val="006C65FF"/>
    <w:rsid w:val="006D3B26"/>
    <w:rsid w:val="006D4F14"/>
    <w:rsid w:val="006D5734"/>
    <w:rsid w:val="006D7E1F"/>
    <w:rsid w:val="006F5384"/>
    <w:rsid w:val="00705AB0"/>
    <w:rsid w:val="0072356C"/>
    <w:rsid w:val="00733672"/>
    <w:rsid w:val="0074091D"/>
    <w:rsid w:val="00754939"/>
    <w:rsid w:val="0076286B"/>
    <w:rsid w:val="00762A1D"/>
    <w:rsid w:val="00767788"/>
    <w:rsid w:val="007736F5"/>
    <w:rsid w:val="00776C03"/>
    <w:rsid w:val="00786F1B"/>
    <w:rsid w:val="00796C82"/>
    <w:rsid w:val="007A15EC"/>
    <w:rsid w:val="007A4F1A"/>
    <w:rsid w:val="007D2165"/>
    <w:rsid w:val="007D33A7"/>
    <w:rsid w:val="007F54AC"/>
    <w:rsid w:val="00812BB6"/>
    <w:rsid w:val="00825AAB"/>
    <w:rsid w:val="00826CEC"/>
    <w:rsid w:val="00834639"/>
    <w:rsid w:val="00841747"/>
    <w:rsid w:val="00851479"/>
    <w:rsid w:val="00857518"/>
    <w:rsid w:val="00881D47"/>
    <w:rsid w:val="0088720E"/>
    <w:rsid w:val="008A6F29"/>
    <w:rsid w:val="008B0A65"/>
    <w:rsid w:val="008B1F42"/>
    <w:rsid w:val="008D6F95"/>
    <w:rsid w:val="008D7BEB"/>
    <w:rsid w:val="00930AF6"/>
    <w:rsid w:val="00941EF1"/>
    <w:rsid w:val="00943D0D"/>
    <w:rsid w:val="00950078"/>
    <w:rsid w:val="00960CB8"/>
    <w:rsid w:val="00961E1A"/>
    <w:rsid w:val="009951C3"/>
    <w:rsid w:val="009A4C40"/>
    <w:rsid w:val="009B3F18"/>
    <w:rsid w:val="009C6FF8"/>
    <w:rsid w:val="009D2521"/>
    <w:rsid w:val="009D5C33"/>
    <w:rsid w:val="00A062A0"/>
    <w:rsid w:val="00A152C4"/>
    <w:rsid w:val="00A16939"/>
    <w:rsid w:val="00A314A9"/>
    <w:rsid w:val="00A32687"/>
    <w:rsid w:val="00A602E0"/>
    <w:rsid w:val="00A71CAE"/>
    <w:rsid w:val="00A8355C"/>
    <w:rsid w:val="00A87725"/>
    <w:rsid w:val="00A973B0"/>
    <w:rsid w:val="00AA1B75"/>
    <w:rsid w:val="00AA2E43"/>
    <w:rsid w:val="00AA459D"/>
    <w:rsid w:val="00AA73F6"/>
    <w:rsid w:val="00AC6F57"/>
    <w:rsid w:val="00AE5BB2"/>
    <w:rsid w:val="00B062E3"/>
    <w:rsid w:val="00B10770"/>
    <w:rsid w:val="00B270ED"/>
    <w:rsid w:val="00B3662F"/>
    <w:rsid w:val="00B36931"/>
    <w:rsid w:val="00B5757A"/>
    <w:rsid w:val="00B70B86"/>
    <w:rsid w:val="00B82446"/>
    <w:rsid w:val="00B84452"/>
    <w:rsid w:val="00B86391"/>
    <w:rsid w:val="00B922FA"/>
    <w:rsid w:val="00B97161"/>
    <w:rsid w:val="00BB175D"/>
    <w:rsid w:val="00BB1BF3"/>
    <w:rsid w:val="00BB7E18"/>
    <w:rsid w:val="00BC3C93"/>
    <w:rsid w:val="00BC7790"/>
    <w:rsid w:val="00BD4B7B"/>
    <w:rsid w:val="00BD6965"/>
    <w:rsid w:val="00BE08D3"/>
    <w:rsid w:val="00BE4551"/>
    <w:rsid w:val="00BF4C58"/>
    <w:rsid w:val="00C10B67"/>
    <w:rsid w:val="00C12538"/>
    <w:rsid w:val="00C14B64"/>
    <w:rsid w:val="00C52480"/>
    <w:rsid w:val="00C552B6"/>
    <w:rsid w:val="00C61985"/>
    <w:rsid w:val="00C6634B"/>
    <w:rsid w:val="00C74D86"/>
    <w:rsid w:val="00CA2D57"/>
    <w:rsid w:val="00CB7169"/>
    <w:rsid w:val="00CD2896"/>
    <w:rsid w:val="00CD7FD2"/>
    <w:rsid w:val="00CF4EB7"/>
    <w:rsid w:val="00D10A03"/>
    <w:rsid w:val="00D15D44"/>
    <w:rsid w:val="00D23D62"/>
    <w:rsid w:val="00D31B8B"/>
    <w:rsid w:val="00D401A7"/>
    <w:rsid w:val="00D61AC4"/>
    <w:rsid w:val="00D66697"/>
    <w:rsid w:val="00D70A02"/>
    <w:rsid w:val="00D727F6"/>
    <w:rsid w:val="00D91F22"/>
    <w:rsid w:val="00DA2C07"/>
    <w:rsid w:val="00DA31D0"/>
    <w:rsid w:val="00DB064B"/>
    <w:rsid w:val="00DC1EB1"/>
    <w:rsid w:val="00DF4E74"/>
    <w:rsid w:val="00E154B5"/>
    <w:rsid w:val="00E23798"/>
    <w:rsid w:val="00E34974"/>
    <w:rsid w:val="00E6204F"/>
    <w:rsid w:val="00E773DB"/>
    <w:rsid w:val="00E8531B"/>
    <w:rsid w:val="00E93342"/>
    <w:rsid w:val="00E948A5"/>
    <w:rsid w:val="00EB0AE6"/>
    <w:rsid w:val="00EB7E20"/>
    <w:rsid w:val="00F029AE"/>
    <w:rsid w:val="00F05EA9"/>
    <w:rsid w:val="00F10285"/>
    <w:rsid w:val="00F16509"/>
    <w:rsid w:val="00F36A9C"/>
    <w:rsid w:val="00F451B7"/>
    <w:rsid w:val="00F453CF"/>
    <w:rsid w:val="00F64A30"/>
    <w:rsid w:val="00F74FE1"/>
    <w:rsid w:val="00F87837"/>
    <w:rsid w:val="00F949F4"/>
    <w:rsid w:val="00FB1245"/>
    <w:rsid w:val="00FC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40108"/>
  <w15:docId w15:val="{DA96A3ED-77AC-4888-8F95-B1A2604C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2C07"/>
    <w:pPr>
      <w:widowControl w:val="0"/>
      <w:spacing w:after="0" w:line="240" w:lineRule="auto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link w:val="Heading1Char"/>
    <w:uiPriority w:val="1"/>
    <w:qFormat/>
    <w:rsid w:val="00DA2C07"/>
    <w:pPr>
      <w:ind w:left="114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2C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C07"/>
  </w:style>
  <w:style w:type="paragraph" w:styleId="Footer">
    <w:name w:val="footer"/>
    <w:basedOn w:val="Normal"/>
    <w:link w:val="FooterChar"/>
    <w:uiPriority w:val="99"/>
    <w:unhideWhenUsed/>
    <w:rsid w:val="00DA2C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C07"/>
  </w:style>
  <w:style w:type="paragraph" w:styleId="BalloonText">
    <w:name w:val="Balloon Text"/>
    <w:basedOn w:val="Normal"/>
    <w:link w:val="BalloonTextChar"/>
    <w:uiPriority w:val="99"/>
    <w:semiHidden/>
    <w:unhideWhenUsed/>
    <w:rsid w:val="00DA2C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C0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DA2C07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A2C0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2C07"/>
    <w:rPr>
      <w:rFonts w:ascii="Arial" w:eastAsia="Arial" w:hAnsi="Arial" w:cs="Arial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2C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C07"/>
    <w:rPr>
      <w:rFonts w:ascii="Arial" w:eastAsia="Arial" w:hAnsi="Arial" w:cs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A2C0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E441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A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0A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B0A65"/>
    <w:rPr>
      <w:rFonts w:ascii="Arial" w:eastAsia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A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A65"/>
    <w:rPr>
      <w:rFonts w:ascii="Arial" w:eastAsia="Arial" w:hAnsi="Arial" w:cs="Arial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8D7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772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A1B75"/>
    <w:rPr>
      <w:rFonts w:ascii="Calibri" w:eastAsia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15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yperlink" Target="http://www.hydrogeneurope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etariat@hydrogeneurope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ecretariat@hydrogeneurope.e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ydrogeneurope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hydrogeneurope.eu" TargetMode="External"/><Relationship Id="rId10" Type="http://schemas.openxmlformats.org/officeDocument/2006/relationships/hyperlink" Target="mailto:secretariat@hydrogeneuroperesearch.e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ydrogeneurope.eu" TargetMode="External"/><Relationship Id="rId14" Type="http://schemas.openxmlformats.org/officeDocument/2006/relationships/hyperlink" Target="mailto:secretariat@hydrogeneuroperesearch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hockoiv\Desktop\H2020\IKAA\2018%20IKAA\2018%20IKAA%20Plan%20-%20Public%20Version\AA_Final_Report_2018_confidential_statistics%20for%20WEB_IH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fr-FR" sz="1080" b="1" i="0" u="none" strike="noStrike" kern="1200" spc="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n-GB"/>
              <a:t>Distribution of IKAA investments (MEur) in 2018 per countries</a:t>
            </a:r>
            <a:endParaRPr lang="en-US"/>
          </a:p>
        </c:rich>
      </c:tx>
      <c:layout>
        <c:manualLayout>
          <c:xMode val="edge"/>
          <c:yMode val="edge"/>
          <c:x val="0.18958102466523916"/>
          <c:y val="6.196956082692431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fr-FR" sz="1080" b="1" i="0" u="none" strike="noStrike" kern="1200" spc="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14907992270197E-2"/>
          <c:y val="0.14319114250508067"/>
          <c:w val="0.93586028108665908"/>
          <c:h val="0.588608920613415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lang="fr-FR"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Country!$A$51:$A$65</c:f>
              <c:strCache>
                <c:ptCount val="15"/>
                <c:pt idx="0">
                  <c:v>France</c:v>
                </c:pt>
                <c:pt idx="1">
                  <c:v>Germany</c:v>
                </c:pt>
                <c:pt idx="2">
                  <c:v>Denmark</c:v>
                </c:pt>
                <c:pt idx="3">
                  <c:v>United Kingdom</c:v>
                </c:pt>
                <c:pt idx="4">
                  <c:v>Norway</c:v>
                </c:pt>
                <c:pt idx="5">
                  <c:v>Sweden</c:v>
                </c:pt>
                <c:pt idx="6">
                  <c:v>Belgium</c:v>
                </c:pt>
                <c:pt idx="7">
                  <c:v>Finland</c:v>
                </c:pt>
                <c:pt idx="8">
                  <c:v>Spain</c:v>
                </c:pt>
                <c:pt idx="9">
                  <c:v>Italy</c:v>
                </c:pt>
                <c:pt idx="10">
                  <c:v>Slovenia</c:v>
                </c:pt>
                <c:pt idx="11">
                  <c:v>Czech Republic</c:v>
                </c:pt>
                <c:pt idx="12">
                  <c:v>Greece</c:v>
                </c:pt>
                <c:pt idx="13">
                  <c:v>Switzerland</c:v>
                </c:pt>
                <c:pt idx="14">
                  <c:v>Bulgaria</c:v>
                </c:pt>
              </c:strCache>
            </c:strRef>
          </c:cat>
          <c:val>
            <c:numRef>
              <c:f>Country!$B$51:$B$65</c:f>
              <c:numCache>
                <c:formatCode>_(* #,##0.00_);_(* \(#,##0.00\);_(* "-"??_);_(@_)</c:formatCode>
                <c:ptCount val="15"/>
                <c:pt idx="0">
                  <c:v>31.402909999999999</c:v>
                </c:pt>
                <c:pt idx="1">
                  <c:v>21.257334073999999</c:v>
                </c:pt>
                <c:pt idx="2">
                  <c:v>11.824586</c:v>
                </c:pt>
                <c:pt idx="3">
                  <c:v>11.103925779999999</c:v>
                </c:pt>
                <c:pt idx="4">
                  <c:v>5.6593650000000002</c:v>
                </c:pt>
                <c:pt idx="5">
                  <c:v>4.7506322000000001</c:v>
                </c:pt>
                <c:pt idx="6">
                  <c:v>3.7045940000000002</c:v>
                </c:pt>
                <c:pt idx="7">
                  <c:v>1.2909999999999999</c:v>
                </c:pt>
                <c:pt idx="8">
                  <c:v>1.03505341</c:v>
                </c:pt>
                <c:pt idx="9">
                  <c:v>0.71572055000000001</c:v>
                </c:pt>
                <c:pt idx="10">
                  <c:v>0.31900000000000001</c:v>
                </c:pt>
                <c:pt idx="11">
                  <c:v>0.239118</c:v>
                </c:pt>
                <c:pt idx="12">
                  <c:v>0.17528126999999999</c:v>
                </c:pt>
                <c:pt idx="13">
                  <c:v>0.16</c:v>
                </c:pt>
                <c:pt idx="14">
                  <c:v>0.11749999999999999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41-450D-9853-4CA0D31B7BA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38985464"/>
        <c:axId val="442778896"/>
      </c:barChart>
      <c:catAx>
        <c:axId val="438985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fr-FR" sz="8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42778896"/>
        <c:crosses val="autoZero"/>
        <c:auto val="1"/>
        <c:lblAlgn val="ctr"/>
        <c:lblOffset val="100"/>
        <c:noMultiLvlLbl val="0"/>
      </c:catAx>
      <c:valAx>
        <c:axId val="442778896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bg1"/>
              </a:solidFill>
              <a:round/>
            </a:ln>
            <a:effectLst/>
          </c:spPr>
        </c:majorGridlines>
        <c:numFmt formatCode="_(* #,##0.00_);_(* \(#,##0.00\);_(* &quot;-&quot;??_);_(@_)" sourceLinked="1"/>
        <c:majorTickMark val="out"/>
        <c:minorTickMark val="none"/>
        <c:tickLblPos val="nextTo"/>
        <c:crossAx val="438985464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25400" cap="flat" cmpd="sng" algn="ctr">
      <a:solidFill>
        <a:schemeClr val="tx1"/>
      </a:solidFill>
      <a:round/>
    </a:ln>
    <a:effectLst/>
  </c:spPr>
  <c:txPr>
    <a:bodyPr/>
    <a:lstStyle/>
    <a:p>
      <a:pPr algn="ctr">
        <a:defRPr lang="fr-FR" sz="900" b="1" i="0" u="none" strike="noStrike" kern="1200" baseline="0">
          <a:solidFill>
            <a:schemeClr val="tx1">
              <a:lumMod val="75000"/>
              <a:lumOff val="25000"/>
            </a:schemeClr>
          </a:solidFill>
          <a:latin typeface="Arial" panose="020B0604020202020204" pitchFamily="34" charset="0"/>
          <a:ea typeface="+mn-ea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409252B-2924-463B-B777-9B1E6B56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6048</Characters>
  <Application>Microsoft Office Word</Application>
  <DocSecurity>0</DocSecurity>
  <Lines>50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DLR</Company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Maiboroda, Antonina</dc:creator>
  <cp:lastModifiedBy>Robinel</cp:lastModifiedBy>
  <cp:revision>2</cp:revision>
  <cp:lastPrinted>2019-07-19T09:45:00Z</cp:lastPrinted>
  <dcterms:created xsi:type="dcterms:W3CDTF">2019-07-30T07:42:00Z</dcterms:created>
  <dcterms:modified xsi:type="dcterms:W3CDTF">2019-07-30T07:42:00Z</dcterms:modified>
</cp:coreProperties>
</file>