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F8" w:rsidRDefault="000141F8" w:rsidP="000141F8">
      <w:r w:rsidRPr="000F3BF2">
        <w:rPr>
          <w:noProof/>
          <w:lang w:val="en-GB" w:eastAsia="en-GB"/>
        </w:rPr>
        <w:drawing>
          <wp:inline distT="0" distB="0" distL="0" distR="0" wp14:anchorId="26C77239" wp14:editId="4C75B9F1">
            <wp:extent cx="37909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950" cy="790575"/>
                    </a:xfrm>
                    <a:prstGeom prst="rect">
                      <a:avLst/>
                    </a:prstGeom>
                    <a:noFill/>
                    <a:ln>
                      <a:noFill/>
                    </a:ln>
                  </pic:spPr>
                </pic:pic>
              </a:graphicData>
            </a:graphic>
          </wp:inline>
        </w:drawing>
      </w:r>
      <w:r>
        <w:tab/>
      </w:r>
      <w:r w:rsidRPr="000F3BF2">
        <w:rPr>
          <w:noProof/>
          <w:lang w:val="en-GB" w:eastAsia="en-GB"/>
        </w:rPr>
        <w:drawing>
          <wp:inline distT="0" distB="0" distL="0" distR="0" wp14:anchorId="5B6B2618" wp14:editId="38A154DD">
            <wp:extent cx="1019175" cy="685800"/>
            <wp:effectExtent l="0" t="0" r="9525" b="0"/>
            <wp:docPr id="3" name="Picture 3"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ropa.eu/european-union/sites/europaeu/files/docs/body/flag_yellow_hig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p w:rsidR="007B3AA1" w:rsidRDefault="007B3AA1" w:rsidP="007B3AA1">
      <w:pPr>
        <w:jc w:val="center"/>
      </w:pPr>
    </w:p>
    <w:p w:rsidR="007B3AA1" w:rsidRDefault="007B3AA1" w:rsidP="007B3AA1">
      <w:pPr>
        <w:jc w:val="center"/>
      </w:pPr>
    </w:p>
    <w:p w:rsidR="007B3AA1" w:rsidRPr="009D4D6B" w:rsidRDefault="007B3AA1" w:rsidP="007B3AA1">
      <w:pPr>
        <w:rPr>
          <w:rFonts w:ascii="Trebuchet MS" w:hAnsi="Trebuchet MS"/>
          <w:b/>
          <w:sz w:val="24"/>
          <w:szCs w:val="24"/>
          <w:lang w:val="en-GB"/>
        </w:rPr>
      </w:pPr>
      <w:r w:rsidRPr="009D4D6B">
        <w:rPr>
          <w:rFonts w:ascii="Trebuchet MS" w:hAnsi="Trebuchet MS"/>
          <w:b/>
          <w:sz w:val="24"/>
          <w:szCs w:val="24"/>
          <w:lang w:val="en-GB"/>
        </w:rPr>
        <w:t>List of Decisions of the FCH 2 JU Governing Board for 2019</w:t>
      </w:r>
    </w:p>
    <w:p w:rsidR="007B3AA1" w:rsidRPr="009D4D6B" w:rsidRDefault="007B3AA1" w:rsidP="007B3AA1">
      <w:pPr>
        <w:jc w:val="both"/>
        <w:rPr>
          <w:rFonts w:ascii="Trebuchet MS" w:hAnsi="Trebuchet MS"/>
          <w:sz w:val="20"/>
          <w:szCs w:val="20"/>
          <w:lang w:val="en-GB"/>
        </w:rPr>
      </w:pPr>
      <w:r w:rsidRPr="009D4D6B">
        <w:rPr>
          <w:rFonts w:ascii="Trebuchet MS" w:hAnsi="Trebuchet MS"/>
          <w:sz w:val="20"/>
          <w:szCs w:val="20"/>
          <w:lang w:val="en-GB"/>
        </w:rPr>
        <w:t>This document lists the decisions which were taken by the Governing Board of FCH 2 JU since 1 January 2019.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976"/>
        <w:gridCol w:w="923"/>
        <w:gridCol w:w="6117"/>
      </w:tblGrid>
      <w:tr w:rsidR="007B3AA1" w:rsidTr="000141F8">
        <w:tc>
          <w:tcPr>
            <w:tcW w:w="1976" w:type="dxa"/>
            <w:shd w:val="clear" w:color="auto" w:fill="00B0F0"/>
          </w:tcPr>
          <w:p w:rsidR="007B3AA1" w:rsidRPr="003C5B45" w:rsidRDefault="007B3AA1" w:rsidP="00603187">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923"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117"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323462"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FCH-GB-2019-01</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sz w:val="20"/>
                <w:szCs w:val="20"/>
                <w:lang w:val="en-GB"/>
              </w:rPr>
              <w:t>Approval of 9 April 2019 of the AAP 2019</w:t>
            </w:r>
          </w:p>
        </w:tc>
      </w:tr>
      <w:tr w:rsidR="007B3AA1" w:rsidRPr="00323462"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FCH-GB-2019-02</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Meeting</w:t>
            </w:r>
          </w:p>
        </w:tc>
        <w:tc>
          <w:tcPr>
            <w:tcW w:w="611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sz w:val="20"/>
                <w:szCs w:val="20"/>
                <w:lang w:val="en-GB"/>
              </w:rPr>
              <w:t>Decision of 22 March 2019 the extension of the Executive Director Contract</w:t>
            </w:r>
          </w:p>
        </w:tc>
      </w:tr>
      <w:tr w:rsidR="007B3AA1" w:rsidRPr="00323462"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FCH-GB-2019-03</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sz w:val="20"/>
                <w:szCs w:val="20"/>
                <w:lang w:val="en-GB"/>
              </w:rPr>
            </w:pPr>
            <w:r w:rsidRPr="009D4D6B">
              <w:rPr>
                <w:rFonts w:ascii="Trebuchet MS" w:hAnsi="Trebuchet MS"/>
                <w:sz w:val="20"/>
                <w:szCs w:val="20"/>
                <w:lang w:val="en-GB"/>
              </w:rPr>
              <w:t>Approval of 10 May 2019 of the amended AWP budget</w:t>
            </w:r>
          </w:p>
        </w:tc>
      </w:tr>
      <w:tr w:rsidR="007B3AA1" w:rsidRPr="00323462" w:rsidTr="000141F8">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FCH-GB-2019-04</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sz w:val="20"/>
                <w:szCs w:val="20"/>
                <w:lang w:val="en-GB"/>
              </w:rPr>
            </w:pPr>
            <w:r w:rsidRPr="009D4D6B">
              <w:rPr>
                <w:rFonts w:ascii="Trebuchet MS" w:hAnsi="Trebuchet MS"/>
                <w:sz w:val="20"/>
                <w:szCs w:val="20"/>
                <w:lang w:val="en-GB"/>
              </w:rPr>
              <w:t>Approval of 10 May 2019 of the IK assessment</w:t>
            </w:r>
          </w:p>
        </w:tc>
      </w:tr>
      <w:tr w:rsidR="007B3AA1" w:rsidRPr="00323462" w:rsidTr="000141F8">
        <w:trPr>
          <w:trHeight w:val="804"/>
        </w:trPr>
        <w:tc>
          <w:tcPr>
            <w:tcW w:w="1976"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FCH-GB-2019-05</w:t>
            </w:r>
          </w:p>
        </w:tc>
        <w:tc>
          <w:tcPr>
            <w:tcW w:w="923"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17" w:type="dxa"/>
          </w:tcPr>
          <w:p w:rsidR="007B3AA1" w:rsidRPr="009D4D6B" w:rsidRDefault="007B3AA1" w:rsidP="00603187">
            <w:pPr>
              <w:spacing w:before="240"/>
              <w:jc w:val="both"/>
              <w:rPr>
                <w:rFonts w:ascii="Trebuchet MS" w:hAnsi="Trebuchet MS"/>
                <w:sz w:val="20"/>
                <w:szCs w:val="20"/>
                <w:lang w:val="en-GB"/>
              </w:rPr>
            </w:pPr>
            <w:r w:rsidRPr="009D4D6B">
              <w:rPr>
                <w:rFonts w:ascii="Trebuchet MS" w:hAnsi="Trebuchet MS"/>
                <w:sz w:val="20"/>
                <w:szCs w:val="20"/>
                <w:lang w:val="en-GB"/>
              </w:rPr>
              <w:t>Approval of 10 May 2019 of types of post and post titles in FCH 2 JU</w:t>
            </w:r>
          </w:p>
        </w:tc>
      </w:tr>
      <w:tr w:rsidR="004D7A4B" w:rsidRPr="00323462" w:rsidTr="000141F8">
        <w:trPr>
          <w:trHeight w:val="804"/>
        </w:trPr>
        <w:tc>
          <w:tcPr>
            <w:tcW w:w="1976" w:type="dxa"/>
          </w:tcPr>
          <w:p w:rsidR="004D7A4B" w:rsidRPr="009D4D6B" w:rsidRDefault="004D7A4B" w:rsidP="00603187">
            <w:pPr>
              <w:spacing w:before="240"/>
              <w:jc w:val="both"/>
              <w:rPr>
                <w:rFonts w:ascii="Trebuchet MS" w:hAnsi="Trebuchet MS" w:cstheme="minorHAnsi"/>
                <w:sz w:val="20"/>
                <w:szCs w:val="20"/>
                <w:lang w:val="en-GB"/>
              </w:rPr>
            </w:pPr>
            <w:r>
              <w:rPr>
                <w:rFonts w:ascii="Trebuchet MS" w:hAnsi="Trebuchet MS" w:cstheme="minorHAnsi"/>
                <w:sz w:val="20"/>
                <w:szCs w:val="20"/>
                <w:lang w:val="en-GB"/>
              </w:rPr>
              <w:t>FCH-GB-2019-07</w:t>
            </w:r>
          </w:p>
        </w:tc>
        <w:tc>
          <w:tcPr>
            <w:tcW w:w="923" w:type="dxa"/>
          </w:tcPr>
          <w:p w:rsidR="004D7A4B" w:rsidRPr="009D4D6B" w:rsidRDefault="004D7A4B" w:rsidP="00603187">
            <w:pPr>
              <w:spacing w:before="240"/>
              <w:jc w:val="center"/>
              <w:rPr>
                <w:rFonts w:ascii="Trebuchet MS" w:hAnsi="Trebuchet MS" w:cstheme="minorHAnsi"/>
                <w:sz w:val="20"/>
                <w:szCs w:val="20"/>
                <w:lang w:val="en-GB"/>
              </w:rPr>
            </w:pPr>
            <w:r>
              <w:rPr>
                <w:rFonts w:ascii="Trebuchet MS" w:hAnsi="Trebuchet MS" w:cstheme="minorHAnsi"/>
                <w:sz w:val="20"/>
                <w:szCs w:val="20"/>
                <w:lang w:val="en-GB"/>
              </w:rPr>
              <w:t>WP</w:t>
            </w:r>
          </w:p>
        </w:tc>
        <w:tc>
          <w:tcPr>
            <w:tcW w:w="6117" w:type="dxa"/>
          </w:tcPr>
          <w:p w:rsidR="004D7A4B" w:rsidRPr="009D4D6B" w:rsidRDefault="004D7A4B" w:rsidP="00603187">
            <w:pPr>
              <w:spacing w:before="240"/>
              <w:jc w:val="both"/>
              <w:rPr>
                <w:rFonts w:ascii="Trebuchet MS" w:hAnsi="Trebuchet MS"/>
                <w:sz w:val="20"/>
                <w:szCs w:val="20"/>
                <w:lang w:val="en-GB"/>
              </w:rPr>
            </w:pPr>
            <w:r>
              <w:rPr>
                <w:rFonts w:ascii="Trebuchet MS" w:hAnsi="Trebuchet MS"/>
                <w:sz w:val="20"/>
                <w:szCs w:val="20"/>
                <w:lang w:val="en-GB"/>
              </w:rPr>
              <w:t xml:space="preserve">Approval of 24 June 2019 of </w:t>
            </w:r>
            <w:r w:rsidRPr="004D7A4B">
              <w:rPr>
                <w:rFonts w:ascii="Trebuchet MS" w:hAnsi="Trebuchet MS"/>
                <w:sz w:val="20"/>
                <w:szCs w:val="20"/>
                <w:lang w:val="en-GB"/>
              </w:rPr>
              <w:t>2018 AAR and its assessment</w:t>
            </w:r>
          </w:p>
        </w:tc>
      </w:tr>
      <w:tr w:rsidR="00323462" w:rsidRPr="00323462" w:rsidTr="000141F8">
        <w:trPr>
          <w:trHeight w:val="804"/>
        </w:trPr>
        <w:tc>
          <w:tcPr>
            <w:tcW w:w="1976" w:type="dxa"/>
          </w:tcPr>
          <w:p w:rsidR="00323462" w:rsidRDefault="00323462" w:rsidP="00603187">
            <w:pPr>
              <w:spacing w:before="240"/>
              <w:jc w:val="both"/>
              <w:rPr>
                <w:rFonts w:ascii="Trebuchet MS" w:hAnsi="Trebuchet MS" w:cstheme="minorHAnsi"/>
                <w:sz w:val="20"/>
                <w:szCs w:val="20"/>
                <w:lang w:val="en-GB"/>
              </w:rPr>
            </w:pPr>
            <w:r>
              <w:rPr>
                <w:rFonts w:ascii="Trebuchet MS" w:hAnsi="Trebuchet MS" w:cstheme="minorHAnsi"/>
                <w:sz w:val="20"/>
                <w:szCs w:val="20"/>
                <w:lang w:val="en-GB"/>
              </w:rPr>
              <w:t>FCH-GB-2019-08</w:t>
            </w:r>
          </w:p>
        </w:tc>
        <w:tc>
          <w:tcPr>
            <w:tcW w:w="923" w:type="dxa"/>
          </w:tcPr>
          <w:p w:rsidR="00323462" w:rsidRDefault="00323462" w:rsidP="00603187">
            <w:pPr>
              <w:spacing w:before="240"/>
              <w:jc w:val="center"/>
              <w:rPr>
                <w:rFonts w:ascii="Trebuchet MS" w:hAnsi="Trebuchet MS" w:cstheme="minorHAnsi"/>
                <w:sz w:val="20"/>
                <w:szCs w:val="20"/>
                <w:lang w:val="en-GB"/>
              </w:rPr>
            </w:pPr>
            <w:r>
              <w:rPr>
                <w:rFonts w:ascii="Trebuchet MS" w:hAnsi="Trebuchet MS" w:cstheme="minorHAnsi"/>
                <w:sz w:val="20"/>
                <w:szCs w:val="20"/>
                <w:lang w:val="en-GB"/>
              </w:rPr>
              <w:t>WP</w:t>
            </w:r>
          </w:p>
        </w:tc>
        <w:tc>
          <w:tcPr>
            <w:tcW w:w="6117" w:type="dxa"/>
          </w:tcPr>
          <w:p w:rsidR="00323462" w:rsidRDefault="00323462" w:rsidP="00603187">
            <w:pPr>
              <w:spacing w:before="240"/>
              <w:jc w:val="both"/>
              <w:rPr>
                <w:rFonts w:ascii="Trebuchet MS" w:hAnsi="Trebuchet MS"/>
                <w:sz w:val="20"/>
                <w:szCs w:val="20"/>
                <w:lang w:val="en-GB"/>
              </w:rPr>
            </w:pPr>
            <w:r>
              <w:rPr>
                <w:rFonts w:ascii="Trebuchet MS" w:hAnsi="Trebuchet MS"/>
                <w:sz w:val="20"/>
                <w:szCs w:val="20"/>
                <w:lang w:val="en-GB"/>
              </w:rPr>
              <w:t>Approval of 01 July 2019 of 2018 Final Accounts of FCH 2 JU</w:t>
            </w:r>
            <w:bookmarkStart w:id="0" w:name="_GoBack"/>
            <w:bookmarkEnd w:id="0"/>
          </w:p>
        </w:tc>
      </w:tr>
    </w:tbl>
    <w:p w:rsidR="007B3AA1" w:rsidRPr="003C5B45" w:rsidRDefault="007B3AA1" w:rsidP="007B3AA1">
      <w:pPr>
        <w:jc w:val="both"/>
        <w:rPr>
          <w:rFonts w:ascii="Trebuchet MS" w:hAnsi="Trebuchet MS"/>
          <w:sz w:val="28"/>
          <w:lang w:val="en-GB"/>
        </w:rPr>
      </w:pPr>
    </w:p>
    <w:p w:rsidR="007B3AA1" w:rsidRPr="004D7A4B" w:rsidRDefault="007B3AA1" w:rsidP="007B3AA1">
      <w:pPr>
        <w:jc w:val="center"/>
        <w:rPr>
          <w:lang w:val="en-GB"/>
        </w:rPr>
      </w:pPr>
    </w:p>
    <w:p w:rsidR="007B3AA1" w:rsidRPr="009D4D6B" w:rsidRDefault="007B3AA1" w:rsidP="007B3AA1">
      <w:pPr>
        <w:rPr>
          <w:rFonts w:ascii="Trebuchet MS" w:hAnsi="Trebuchet MS"/>
          <w:b/>
          <w:sz w:val="24"/>
          <w:szCs w:val="24"/>
          <w:lang w:val="en-GB"/>
        </w:rPr>
      </w:pPr>
      <w:r w:rsidRPr="009D4D6B">
        <w:rPr>
          <w:rFonts w:ascii="Trebuchet MS" w:hAnsi="Trebuchet MS"/>
          <w:b/>
          <w:sz w:val="24"/>
          <w:szCs w:val="24"/>
          <w:lang w:val="en-GB"/>
        </w:rPr>
        <w:t>List of Decisions of the FCH 2 JU Governing Board for 2018</w:t>
      </w:r>
    </w:p>
    <w:p w:rsidR="007B3AA1" w:rsidRPr="009D4D6B" w:rsidRDefault="007B3AA1" w:rsidP="007B3AA1">
      <w:pPr>
        <w:jc w:val="both"/>
        <w:rPr>
          <w:rFonts w:ascii="Trebuchet MS" w:hAnsi="Trebuchet MS"/>
          <w:sz w:val="20"/>
          <w:szCs w:val="20"/>
          <w:lang w:val="en-GB"/>
        </w:rPr>
      </w:pPr>
      <w:r w:rsidRPr="009D4D6B">
        <w:rPr>
          <w:rFonts w:ascii="Trebuchet MS" w:hAnsi="Trebuchet MS"/>
          <w:sz w:val="20"/>
          <w:szCs w:val="20"/>
          <w:lang w:val="en-GB"/>
        </w:rPr>
        <w:t>This document lists the decisions which were taken by the Governing Board of FCH 2 JU since 1 January 2018.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767"/>
        <w:gridCol w:w="1106"/>
        <w:gridCol w:w="6143"/>
      </w:tblGrid>
      <w:tr w:rsidR="007B3AA1" w:rsidTr="00603187">
        <w:tc>
          <w:tcPr>
            <w:tcW w:w="1767" w:type="dxa"/>
            <w:shd w:val="clear" w:color="auto" w:fill="00B0F0"/>
          </w:tcPr>
          <w:p w:rsidR="007B3AA1" w:rsidRPr="003C5B45" w:rsidRDefault="007B3AA1" w:rsidP="00603187">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1106"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143"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323462"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FCH-GB-2018-01</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Decision of 26 January 2018 on Learning and Development</w:t>
            </w:r>
          </w:p>
        </w:tc>
      </w:tr>
      <w:tr w:rsidR="007B3AA1" w:rsidRPr="00323462"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FCH-GB-2018-02</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 xml:space="preserve">Decision of 15 March 2018 on the approval of the IAS Charter </w:t>
            </w:r>
          </w:p>
        </w:tc>
      </w:tr>
      <w:tr w:rsidR="007B3AA1" w:rsidRPr="00323462" w:rsidTr="00603187">
        <w:tc>
          <w:tcPr>
            <w:tcW w:w="1767" w:type="dxa"/>
            <w:hideMark/>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FCH-GB-2018-03</w:t>
            </w:r>
          </w:p>
        </w:tc>
        <w:tc>
          <w:tcPr>
            <w:tcW w:w="1106" w:type="dxa"/>
            <w:hideMark/>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hideMark/>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6 February 2018 on the Election of Valérie Bouillon-Delporte as the Chair of the GB </w:t>
            </w:r>
          </w:p>
        </w:tc>
      </w:tr>
      <w:tr w:rsidR="007B3AA1" w:rsidRPr="00323462"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FCH-GB-2018-03 bis</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Approval of 22 March 2018 of the minutes of the GB meeting of 6 February 2018</w:t>
            </w:r>
          </w:p>
        </w:tc>
      </w:tr>
      <w:tr w:rsidR="007B3AA1" w:rsidRPr="00323462" w:rsidTr="00603187">
        <w:tc>
          <w:tcPr>
            <w:tcW w:w="1767"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FCH-GB-2018-04</w:t>
            </w:r>
          </w:p>
        </w:tc>
        <w:tc>
          <w:tcPr>
            <w:tcW w:w="1106" w:type="dxa"/>
          </w:tcPr>
          <w:p w:rsidR="007B3AA1" w:rsidRPr="009D4D6B" w:rsidRDefault="007B3AA1" w:rsidP="00603187">
            <w:pPr>
              <w:spacing w:before="240"/>
              <w:jc w:val="center"/>
              <w:rPr>
                <w:rFonts w:ascii="Trebuchet MS" w:hAnsi="Trebuchet MS" w:cstheme="minorHAnsi"/>
                <w:sz w:val="20"/>
                <w:szCs w:val="20"/>
                <w:lang w:val="en-GB"/>
              </w:rPr>
            </w:pPr>
            <w:r w:rsidRPr="009D4D6B">
              <w:rPr>
                <w:rFonts w:ascii="Trebuchet MS" w:hAnsi="Trebuchet MS" w:cstheme="minorHAnsi"/>
                <w:sz w:val="20"/>
                <w:szCs w:val="20"/>
                <w:lang w:val="en-GB"/>
              </w:rPr>
              <w:t>WP</w:t>
            </w:r>
          </w:p>
        </w:tc>
        <w:tc>
          <w:tcPr>
            <w:tcW w:w="6143" w:type="dxa"/>
          </w:tcPr>
          <w:p w:rsidR="007B3AA1" w:rsidRPr="009D4D6B" w:rsidRDefault="007B3AA1" w:rsidP="00603187">
            <w:pPr>
              <w:spacing w:before="240"/>
              <w:jc w:val="both"/>
              <w:rPr>
                <w:rFonts w:ascii="Trebuchet MS" w:hAnsi="Trebuchet MS" w:cstheme="minorHAnsi"/>
                <w:sz w:val="20"/>
                <w:szCs w:val="20"/>
                <w:lang w:val="en-GB"/>
              </w:rPr>
            </w:pPr>
            <w:r w:rsidRPr="009D4D6B">
              <w:rPr>
                <w:rFonts w:ascii="Trebuchet MS" w:hAnsi="Trebuchet MS" w:cstheme="minorHAnsi"/>
                <w:sz w:val="20"/>
                <w:szCs w:val="20"/>
                <w:lang w:val="en-GB"/>
              </w:rPr>
              <w:t>Decision of 4 April 2018 on the 1</w:t>
            </w:r>
            <w:r w:rsidRPr="009D4D6B">
              <w:rPr>
                <w:rFonts w:ascii="Trebuchet MS" w:hAnsi="Trebuchet MS" w:cstheme="minorHAnsi"/>
                <w:sz w:val="20"/>
                <w:szCs w:val="20"/>
                <w:vertAlign w:val="superscript"/>
                <w:lang w:val="en-GB"/>
              </w:rPr>
              <w:t>st</w:t>
            </w:r>
            <w:r w:rsidRPr="009D4D6B">
              <w:rPr>
                <w:rFonts w:ascii="Trebuchet MS" w:hAnsi="Trebuchet MS" w:cstheme="minorHAnsi"/>
                <w:sz w:val="20"/>
                <w:szCs w:val="20"/>
                <w:lang w:val="en-GB"/>
              </w:rPr>
              <w:t xml:space="preserve"> FCH 2 JU 2018  Budget amendment </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FCH-GB-2018-05</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tcPr>
          <w:p w:rsidR="000141F8"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22 March 2018 on Election of Signe Ratso as the Vice-Chair of the GB </w:t>
            </w:r>
          </w:p>
          <w:p w:rsidR="007B3AA1" w:rsidRPr="000141F8" w:rsidRDefault="007B3AA1" w:rsidP="000141F8">
            <w:pPr>
              <w:jc w:val="center"/>
              <w:rPr>
                <w:rFonts w:ascii="Trebuchet MS" w:hAnsi="Trebuchet MS"/>
                <w:sz w:val="20"/>
                <w:szCs w:val="20"/>
                <w:lang w:val="en-GB"/>
              </w:rPr>
            </w:pP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lastRenderedPageBreak/>
              <w:t>FCH-GB-2018-06</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4 June 2018 on In-Kind Assessment (FP7)</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FCH-GB-2018-07</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Approval on 4 June 2018 of the minutes of the GB meeting of 22 March 2018</w:t>
            </w:r>
          </w:p>
        </w:tc>
      </w:tr>
      <w:tr w:rsidR="007B3AA1" w:rsidRPr="00323462" w:rsidTr="00603187">
        <w:tc>
          <w:tcPr>
            <w:tcW w:w="1767" w:type="dxa"/>
          </w:tcPr>
          <w:p w:rsidR="007B3AA1" w:rsidRPr="009D4D6B" w:rsidRDefault="007B3AA1" w:rsidP="00603187">
            <w:pPr>
              <w:spacing w:before="240"/>
              <w:rPr>
                <w:rFonts w:ascii="Trebuchet MS" w:hAnsi="Trebuchet MS"/>
                <w:sz w:val="20"/>
                <w:szCs w:val="20"/>
                <w:highlight w:val="yellow"/>
              </w:rPr>
            </w:pPr>
            <w:r w:rsidRPr="009D4D6B">
              <w:rPr>
                <w:rFonts w:ascii="Trebuchet MS" w:hAnsi="Trebuchet MS"/>
                <w:sz w:val="20"/>
                <w:szCs w:val="20"/>
              </w:rPr>
              <w:t>FCH-GB-2018-08</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GB opinion of June 29 2018 on annual accounts 2017</w:t>
            </w:r>
          </w:p>
        </w:tc>
      </w:tr>
      <w:tr w:rsidR="007B3AA1" w:rsidRPr="00323462" w:rsidTr="00603187">
        <w:tc>
          <w:tcPr>
            <w:tcW w:w="1767" w:type="dxa"/>
          </w:tcPr>
          <w:p w:rsidR="007B3AA1" w:rsidRPr="009D4D6B" w:rsidRDefault="007B3AA1" w:rsidP="00603187">
            <w:pPr>
              <w:spacing w:before="240"/>
              <w:rPr>
                <w:rFonts w:ascii="Trebuchet MS" w:hAnsi="Trebuchet MS"/>
                <w:sz w:val="20"/>
                <w:szCs w:val="20"/>
                <w:highlight w:val="yellow"/>
              </w:rPr>
            </w:pPr>
            <w:r w:rsidRPr="009D4D6B">
              <w:rPr>
                <w:rFonts w:ascii="Trebuchet MS" w:hAnsi="Trebuchet MS"/>
                <w:sz w:val="20"/>
                <w:szCs w:val="20"/>
              </w:rPr>
              <w:t>FCH-GB-2018-09</w:t>
            </w:r>
          </w:p>
        </w:tc>
        <w:tc>
          <w:tcPr>
            <w:tcW w:w="1106" w:type="dxa"/>
          </w:tcPr>
          <w:p w:rsidR="007B3AA1" w:rsidRPr="009D4D6B" w:rsidRDefault="007B3AA1" w:rsidP="00603187">
            <w:pPr>
              <w:spacing w:before="240"/>
              <w:jc w:val="center"/>
              <w:rPr>
                <w:rFonts w:ascii="Trebuchet MS" w:hAnsi="Trebuchet MS"/>
                <w:sz w:val="20"/>
                <w:szCs w:val="20"/>
                <w:highlight w:val="yellow"/>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highlight w:val="yellow"/>
                <w:lang w:val="en-GB"/>
              </w:rPr>
            </w:pPr>
            <w:r w:rsidRPr="009D4D6B">
              <w:rPr>
                <w:rFonts w:ascii="Trebuchet MS" w:hAnsi="Trebuchet MS"/>
                <w:sz w:val="20"/>
                <w:szCs w:val="20"/>
                <w:lang w:val="en-GB"/>
              </w:rPr>
              <w:t>GB assessment and approval of 29 June 2018 of FCH 2 JU 2017 Annual Activity Report</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FCH-GB-2018-10</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 xml:space="preserve">Decision of 31 July 2018 on Implementing rules on temporary occupation of management posts </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FCH-GB-2018-11</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8 August 2018 on Call 2018 Results</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FCH-GB-2018-12</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16 August 2018 on the adoption of the revised Internal Control Framework</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FCH-GB-2018-17</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Approval on 10 October 2018 of the minutes of the GB meeting of 03 July 2018</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FCH-GB-2018-17 bis</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3 July 2018 on Election of Patrick Child as the Vice-Chair of the GB </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FCH-GB-2018-13</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outside activities</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FCH-GB-2018-14</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function of advisor</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FCH-GB-2018-15</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middle management</w:t>
            </w:r>
          </w:p>
        </w:tc>
      </w:tr>
      <w:tr w:rsidR="007B3AA1" w:rsidRPr="00323462" w:rsidTr="00603187">
        <w:tc>
          <w:tcPr>
            <w:tcW w:w="1767" w:type="dxa"/>
          </w:tcPr>
          <w:p w:rsidR="007B3AA1" w:rsidRPr="009D4D6B" w:rsidRDefault="007B3AA1" w:rsidP="00603187">
            <w:pPr>
              <w:spacing w:before="240"/>
              <w:rPr>
                <w:rFonts w:ascii="Trebuchet MS" w:hAnsi="Trebuchet MS"/>
                <w:sz w:val="20"/>
                <w:szCs w:val="20"/>
              </w:rPr>
            </w:pPr>
            <w:r w:rsidRPr="009D4D6B">
              <w:rPr>
                <w:rFonts w:ascii="Trebuchet MS" w:hAnsi="Trebuchet MS"/>
                <w:sz w:val="20"/>
                <w:szCs w:val="20"/>
              </w:rPr>
              <w:t>FCH-GB-2018-16</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21 November 2018 on guidelines on whistleblowing</w:t>
            </w:r>
          </w:p>
        </w:tc>
      </w:tr>
      <w:tr w:rsidR="007B3AA1" w:rsidRPr="00323462"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FCH-GB-2018-18</w:t>
            </w:r>
            <w:r w:rsidRPr="009D4D6B">
              <w:rPr>
                <w:rFonts w:ascii="Trebuchet MS" w:hAnsi="Trebuchet MS"/>
                <w:sz w:val="20"/>
                <w:szCs w:val="20"/>
                <w:lang w:val="en-GB"/>
              </w:rPr>
              <w:tab/>
            </w:r>
            <w:r w:rsidRPr="009D4D6B">
              <w:rPr>
                <w:rFonts w:ascii="Trebuchet MS" w:hAnsi="Trebuchet MS"/>
                <w:sz w:val="20"/>
                <w:szCs w:val="20"/>
                <w:lang w:val="en-GB"/>
              </w:rPr>
              <w:tab/>
            </w:r>
          </w:p>
        </w:tc>
        <w:tc>
          <w:tcPr>
            <w:tcW w:w="1106" w:type="dxa"/>
          </w:tcPr>
          <w:p w:rsidR="007B3AA1" w:rsidRPr="009D4D6B" w:rsidRDefault="007B3AA1" w:rsidP="00603187">
            <w:pPr>
              <w:spacing w:before="240"/>
              <w:jc w:val="center"/>
              <w:rPr>
                <w:rFonts w:ascii="Trebuchet MS" w:hAnsi="Trebuchet MS"/>
                <w:sz w:val="20"/>
                <w:szCs w:val="20"/>
                <w:lang w:val="en-GB"/>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17 December 2018 on adoption of FCH 2 JU AWP and Budget for 2019</w:t>
            </w:r>
          </w:p>
        </w:tc>
      </w:tr>
      <w:tr w:rsidR="007B3AA1" w:rsidRPr="00323462"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FCH-GB-2018-19</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on 19 December 2018 on adoption of 2</w:t>
            </w:r>
            <w:r w:rsidRPr="009D4D6B">
              <w:rPr>
                <w:rFonts w:ascii="Trebuchet MS" w:hAnsi="Trebuchet MS"/>
                <w:sz w:val="20"/>
                <w:szCs w:val="20"/>
                <w:vertAlign w:val="superscript"/>
                <w:lang w:val="en-GB"/>
              </w:rPr>
              <w:t>nd</w:t>
            </w:r>
            <w:r w:rsidRPr="009D4D6B">
              <w:rPr>
                <w:rFonts w:ascii="Trebuchet MS" w:hAnsi="Trebuchet MS"/>
                <w:sz w:val="20"/>
                <w:szCs w:val="20"/>
                <w:lang w:val="en-GB"/>
              </w:rPr>
              <w:t xml:space="preserve"> amendment to FCH 2 JU Budget for 2018</w:t>
            </w:r>
          </w:p>
        </w:tc>
      </w:tr>
      <w:tr w:rsidR="007B3AA1" w:rsidRPr="00323462"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FCH-GB-2018-20</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WP</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Approval on 30 January 2019 of the minutes of the GB meeting of 25 October 2018</w:t>
            </w:r>
          </w:p>
        </w:tc>
      </w:tr>
      <w:tr w:rsidR="007B3AA1" w:rsidRPr="00323462" w:rsidTr="00603187">
        <w:tc>
          <w:tcPr>
            <w:tcW w:w="1767"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FCH-GB-2018-20 bis</w:t>
            </w:r>
          </w:p>
        </w:tc>
        <w:tc>
          <w:tcPr>
            <w:tcW w:w="1106" w:type="dxa"/>
          </w:tcPr>
          <w:p w:rsidR="007B3AA1" w:rsidRPr="009D4D6B" w:rsidRDefault="007B3AA1" w:rsidP="00603187">
            <w:pPr>
              <w:spacing w:before="240"/>
              <w:jc w:val="center"/>
              <w:rPr>
                <w:rFonts w:ascii="Trebuchet MS" w:hAnsi="Trebuchet MS"/>
                <w:sz w:val="20"/>
                <w:szCs w:val="20"/>
              </w:rPr>
            </w:pPr>
            <w:r w:rsidRPr="009D4D6B">
              <w:rPr>
                <w:rFonts w:ascii="Trebuchet MS" w:hAnsi="Trebuchet MS"/>
                <w:sz w:val="20"/>
                <w:szCs w:val="20"/>
              </w:rPr>
              <w:t>MEETING</w:t>
            </w:r>
          </w:p>
        </w:tc>
        <w:tc>
          <w:tcPr>
            <w:tcW w:w="6143" w:type="dxa"/>
          </w:tcPr>
          <w:p w:rsidR="007B3AA1" w:rsidRPr="009D4D6B" w:rsidRDefault="007B3AA1" w:rsidP="00603187">
            <w:pPr>
              <w:spacing w:before="240"/>
              <w:rPr>
                <w:rFonts w:ascii="Trebuchet MS" w:hAnsi="Trebuchet MS"/>
                <w:sz w:val="20"/>
                <w:szCs w:val="20"/>
                <w:lang w:val="en-GB"/>
              </w:rPr>
            </w:pPr>
            <w:r w:rsidRPr="009D4D6B">
              <w:rPr>
                <w:rFonts w:ascii="Trebuchet MS" w:hAnsi="Trebuchet MS"/>
                <w:sz w:val="20"/>
                <w:szCs w:val="20"/>
                <w:lang w:val="en-GB"/>
              </w:rPr>
              <w:t>Decision of 25 October 2018 on Election of Valérie Bouillon Delporte as the Chair of the GB </w:t>
            </w:r>
          </w:p>
        </w:tc>
      </w:tr>
    </w:tbl>
    <w:p w:rsidR="00AA1A3B" w:rsidRPr="003C5B45" w:rsidRDefault="00AA1A3B" w:rsidP="00694F09">
      <w:pPr>
        <w:jc w:val="both"/>
        <w:rPr>
          <w:rFonts w:ascii="Trebuchet MS" w:hAnsi="Trebuchet MS"/>
          <w:sz w:val="28"/>
          <w:lang w:val="en-GB"/>
        </w:rPr>
      </w:pPr>
    </w:p>
    <w:p w:rsidR="00AA1A3B" w:rsidRPr="004D7A4B" w:rsidRDefault="00AA1A3B" w:rsidP="00694F09">
      <w:pPr>
        <w:jc w:val="center"/>
        <w:rPr>
          <w:lang w:val="en-GB"/>
        </w:rPr>
      </w:pPr>
    </w:p>
    <w:p w:rsidR="00AA1A3B" w:rsidRPr="009D4D6B" w:rsidRDefault="00AA1A3B" w:rsidP="00694F09">
      <w:pPr>
        <w:rPr>
          <w:rFonts w:ascii="Trebuchet MS" w:hAnsi="Trebuchet MS"/>
          <w:b/>
          <w:sz w:val="24"/>
          <w:szCs w:val="24"/>
          <w:lang w:val="en-GB"/>
        </w:rPr>
      </w:pPr>
      <w:r w:rsidRPr="009D4D6B">
        <w:rPr>
          <w:rFonts w:ascii="Trebuchet MS" w:hAnsi="Trebuchet MS"/>
          <w:b/>
          <w:sz w:val="24"/>
          <w:szCs w:val="24"/>
          <w:lang w:val="en-GB"/>
        </w:rPr>
        <w:t>List of Decisions of the FCH 2 JU Governing Board for 2017</w:t>
      </w:r>
    </w:p>
    <w:p w:rsidR="00AA1A3B" w:rsidRPr="009D4D6B" w:rsidRDefault="00AA1A3B" w:rsidP="00694F09">
      <w:pPr>
        <w:jc w:val="both"/>
        <w:rPr>
          <w:rFonts w:ascii="Trebuchet MS" w:hAnsi="Trebuchet MS"/>
          <w:sz w:val="20"/>
          <w:szCs w:val="20"/>
          <w:lang w:val="en-GB"/>
        </w:rPr>
      </w:pPr>
      <w:r w:rsidRPr="009D4D6B">
        <w:rPr>
          <w:rFonts w:ascii="Trebuchet MS" w:hAnsi="Trebuchet MS"/>
          <w:sz w:val="20"/>
          <w:szCs w:val="20"/>
          <w:lang w:val="en-GB"/>
        </w:rPr>
        <w:t>This document lists the decisions which were taken by the Governing Board of FCH 2 JU through 1 January to 31 December 2017.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838"/>
        <w:gridCol w:w="1111"/>
        <w:gridCol w:w="6067"/>
      </w:tblGrid>
      <w:tr w:rsidR="00AA1A3B" w:rsidTr="009D4D6B">
        <w:tc>
          <w:tcPr>
            <w:tcW w:w="1838" w:type="dxa"/>
            <w:shd w:val="clear" w:color="auto" w:fill="00B0F0"/>
          </w:tcPr>
          <w:p w:rsidR="00AA1A3B" w:rsidRPr="003C5B45" w:rsidRDefault="003F7F4E" w:rsidP="00694F09">
            <w:pPr>
              <w:jc w:val="both"/>
              <w:rPr>
                <w:rFonts w:ascii="Trebuchet MS" w:hAnsi="Trebuchet MS"/>
                <w:color w:val="FFFFFF" w:themeColor="background1"/>
                <w:sz w:val="28"/>
                <w:lang w:val="en-GB"/>
              </w:rPr>
            </w:pPr>
            <w:r>
              <w:rPr>
                <w:rFonts w:ascii="Trebuchet MS" w:hAnsi="Trebuchet MS"/>
                <w:color w:val="FFFFFF" w:themeColor="background1"/>
                <w:lang w:val="en-GB"/>
              </w:rPr>
              <w:t>Sequential n°.</w:t>
            </w:r>
          </w:p>
        </w:tc>
        <w:tc>
          <w:tcPr>
            <w:tcW w:w="1111" w:type="dxa"/>
            <w:shd w:val="clear" w:color="auto" w:fill="00B0F0"/>
          </w:tcPr>
          <w:p w:rsidR="00AA1A3B" w:rsidRPr="003C5B45" w:rsidRDefault="00AA1A3B" w:rsidP="00694F09">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067" w:type="dxa"/>
            <w:shd w:val="clear" w:color="auto" w:fill="00B0F0"/>
          </w:tcPr>
          <w:p w:rsidR="00AA1A3B" w:rsidRPr="003C5B45" w:rsidRDefault="00AA1A3B" w:rsidP="00694F09">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01</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18 April 2017 adopting the FCH 2 JU 2017 Budget Amendment (including amendment to the Staff Establishment Plan)</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02</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01 June 2017 adopting the independent assessment of IK (FP7)</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lastRenderedPageBreak/>
              <w:t>03</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9 June 2017 not to apply EC decision C(9028) of 16 December 2013 – on the maximum duration for the recourse to non-permanent staff in the Commission services</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04</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MEETING</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29 June 2017 Election of Jack Metthey as the Vice-Chair of the GB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05</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29 June 2017 on the approval of the minutes of the GB meeting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06</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30 June 2017 on FCH 2 JU AAR 2016 and its assessment of it</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07</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30 June 2017 on GB opinion on the 2016 Annual Accounts</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08</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20 July 2017 on FCH 2 JU call evaluation 2017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09</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31 July 2017 on FCH 2 JU policy on prevention of harassment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10</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18 August 2017 on Amendment n°2 to the FCH JU budget for 2017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11</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02 October 2017 on additional actions for funding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12</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13 November 2017 on rules on the prevention and management of conflicts of interests of the staff members of the FCH 2 JU, rules on the prevention and management of conflicts of interests of the bodies of the FCH 2 JU, rules concerning the annual appraisal, probationary and management trial period of the Executive Director of the FCH 2 JU - adopted on 13/11/17</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13</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Decision of 15 November 2017 on the appointment of members of the Scientific Committee</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14</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14 December 2017 on Annual Work Plan and Budget for 2018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15</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of 14 December 2017 on Additional Activities Plan 2018 </w:t>
            </w:r>
          </w:p>
        </w:tc>
      </w:tr>
      <w:tr w:rsidR="00AA1A3B" w:rsidRPr="00323462" w:rsidTr="009D4D6B">
        <w:tc>
          <w:tcPr>
            <w:tcW w:w="1838" w:type="dxa"/>
          </w:tcPr>
          <w:p w:rsidR="00AA1A3B" w:rsidRPr="009D4D6B" w:rsidRDefault="00AA1A3B" w:rsidP="00694F09">
            <w:pPr>
              <w:spacing w:before="240"/>
              <w:rPr>
                <w:rFonts w:ascii="Trebuchet MS" w:hAnsi="Trebuchet MS"/>
                <w:sz w:val="20"/>
                <w:szCs w:val="20"/>
              </w:rPr>
            </w:pPr>
            <w:r w:rsidRPr="009D4D6B">
              <w:rPr>
                <w:rFonts w:ascii="Trebuchet MS" w:hAnsi="Trebuchet MS"/>
                <w:sz w:val="20"/>
                <w:szCs w:val="20"/>
              </w:rPr>
              <w:t>16</w:t>
            </w:r>
          </w:p>
        </w:tc>
        <w:tc>
          <w:tcPr>
            <w:tcW w:w="1111" w:type="dxa"/>
          </w:tcPr>
          <w:p w:rsidR="00AA1A3B" w:rsidRPr="009D4D6B" w:rsidRDefault="00AA1A3B" w:rsidP="00694F09">
            <w:pPr>
              <w:spacing w:before="240"/>
              <w:jc w:val="center"/>
              <w:rPr>
                <w:rFonts w:ascii="Trebuchet MS" w:hAnsi="Trebuchet MS"/>
                <w:sz w:val="20"/>
                <w:szCs w:val="20"/>
              </w:rPr>
            </w:pPr>
            <w:r w:rsidRPr="009D4D6B">
              <w:rPr>
                <w:rFonts w:ascii="Trebuchet MS" w:hAnsi="Trebuchet MS"/>
                <w:sz w:val="20"/>
                <w:szCs w:val="20"/>
              </w:rPr>
              <w:t>WP</w:t>
            </w:r>
          </w:p>
        </w:tc>
        <w:tc>
          <w:tcPr>
            <w:tcW w:w="6067" w:type="dxa"/>
          </w:tcPr>
          <w:p w:rsidR="00AA1A3B" w:rsidRPr="009D4D6B" w:rsidRDefault="00AA1A3B" w:rsidP="00694F09">
            <w:pPr>
              <w:spacing w:before="240"/>
              <w:rPr>
                <w:rFonts w:ascii="Trebuchet MS" w:hAnsi="Trebuchet MS"/>
                <w:sz w:val="20"/>
                <w:szCs w:val="20"/>
                <w:lang w:val="en-GB"/>
              </w:rPr>
            </w:pPr>
            <w:r w:rsidRPr="009D4D6B">
              <w:rPr>
                <w:rFonts w:ascii="Trebuchet MS" w:hAnsi="Trebuchet MS"/>
                <w:sz w:val="20"/>
                <w:szCs w:val="20"/>
                <w:lang w:val="en-GB"/>
              </w:rPr>
              <w:t xml:space="preserve">Decision on 14 December 2017 on Guide to missions </w:t>
            </w:r>
          </w:p>
        </w:tc>
      </w:tr>
    </w:tbl>
    <w:p w:rsidR="009D4D6B" w:rsidRDefault="009D4D6B" w:rsidP="00694F09">
      <w:pPr>
        <w:jc w:val="both"/>
        <w:rPr>
          <w:rFonts w:ascii="Trebuchet MS" w:hAnsi="Trebuchet MS"/>
          <w:sz w:val="28"/>
          <w:lang w:val="en-GB"/>
        </w:rPr>
      </w:pPr>
    </w:p>
    <w:p w:rsidR="007B3AA1" w:rsidRPr="004D7A4B" w:rsidRDefault="007B3AA1" w:rsidP="007B3AA1">
      <w:pPr>
        <w:jc w:val="center"/>
        <w:rPr>
          <w:lang w:val="en-GB"/>
        </w:rPr>
      </w:pPr>
    </w:p>
    <w:p w:rsidR="007B3AA1" w:rsidRPr="00694F09" w:rsidRDefault="007B3AA1" w:rsidP="007B3AA1">
      <w:pPr>
        <w:rPr>
          <w:rFonts w:ascii="Trebuchet MS" w:hAnsi="Trebuchet MS"/>
          <w:b/>
          <w:sz w:val="24"/>
          <w:szCs w:val="24"/>
          <w:lang w:val="en-GB"/>
        </w:rPr>
      </w:pPr>
      <w:r w:rsidRPr="00694F09">
        <w:rPr>
          <w:rFonts w:ascii="Trebuchet MS" w:hAnsi="Trebuchet MS"/>
          <w:b/>
          <w:sz w:val="24"/>
          <w:szCs w:val="24"/>
          <w:lang w:val="en-GB"/>
        </w:rPr>
        <w:t>List of Decisions of the FCH 2 JU Governing Board for 2016</w:t>
      </w:r>
    </w:p>
    <w:p w:rsidR="007B3AA1" w:rsidRPr="00694F09" w:rsidRDefault="007B3AA1" w:rsidP="007B3AA1">
      <w:pPr>
        <w:jc w:val="both"/>
        <w:rPr>
          <w:rFonts w:ascii="Trebuchet MS" w:hAnsi="Trebuchet MS"/>
          <w:sz w:val="20"/>
          <w:szCs w:val="20"/>
          <w:lang w:val="en-GB"/>
        </w:rPr>
      </w:pPr>
      <w:r w:rsidRPr="00694F09">
        <w:rPr>
          <w:rFonts w:ascii="Trebuchet MS" w:hAnsi="Trebuchet MS"/>
          <w:sz w:val="20"/>
          <w:szCs w:val="20"/>
          <w:lang w:val="en-GB"/>
        </w:rPr>
        <w:t>This document lists the decisions which were taken by the Governing Board of FCH 2 JU through 1 January to 31 December 2016. The type of decision identifies which decisions were taken at a Meeting and which decisions were taken by Written Procedure (WP).</w:t>
      </w:r>
    </w:p>
    <w:tbl>
      <w:tblPr>
        <w:tblStyle w:val="TableGrid"/>
        <w:tblW w:w="9067" w:type="dxa"/>
        <w:tblLook w:val="04A0" w:firstRow="1" w:lastRow="0" w:firstColumn="1" w:lastColumn="0" w:noHBand="0" w:noVBand="1"/>
      </w:tblPr>
      <w:tblGrid>
        <w:gridCol w:w="1680"/>
        <w:gridCol w:w="1292"/>
        <w:gridCol w:w="6095"/>
      </w:tblGrid>
      <w:tr w:rsidR="007B3AA1" w:rsidTr="009E144F">
        <w:tc>
          <w:tcPr>
            <w:tcW w:w="1680" w:type="dxa"/>
            <w:shd w:val="clear" w:color="auto" w:fill="00B0F0"/>
          </w:tcPr>
          <w:p w:rsidR="007B3AA1" w:rsidRPr="003C5B45" w:rsidRDefault="003F7F4E" w:rsidP="00603187">
            <w:pPr>
              <w:jc w:val="both"/>
              <w:rPr>
                <w:rFonts w:ascii="Trebuchet MS" w:hAnsi="Trebuchet MS"/>
                <w:color w:val="FFFFFF" w:themeColor="background1"/>
                <w:sz w:val="28"/>
                <w:lang w:val="en-GB"/>
              </w:rPr>
            </w:pPr>
            <w:r>
              <w:rPr>
                <w:rFonts w:ascii="Trebuchet MS" w:hAnsi="Trebuchet MS"/>
                <w:color w:val="FFFFFF" w:themeColor="background1"/>
                <w:lang w:val="en-GB"/>
              </w:rPr>
              <w:t>Sequential n°.</w:t>
            </w:r>
          </w:p>
        </w:tc>
        <w:tc>
          <w:tcPr>
            <w:tcW w:w="1292"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095"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323462" w:rsidTr="009E144F">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01</w:t>
            </w:r>
          </w:p>
        </w:tc>
        <w:tc>
          <w:tcPr>
            <w:tcW w:w="1292" w:type="dxa"/>
            <w:tcBorders>
              <w:top w:val="single" w:sz="4" w:space="0" w:color="auto"/>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single" w:sz="4" w:space="0" w:color="auto"/>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January 2016 on Terms of reference for a study on "Business models and financing arrangements for the commercialisation of stationary fuel cells"</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02</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11 March 2016 on Terms of reference for a study on “Early business cases for H2 in Energy Storage and more broadly Power to H2 applications”</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lastRenderedPageBreak/>
              <w:t>03</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16 March on appointment of the Executive Director of FCH 2 JU</w:t>
            </w:r>
          </w:p>
        </w:tc>
      </w:tr>
      <w:tr w:rsidR="007B3AA1" w:rsidRPr="00CC1724"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04</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rPr>
            </w:pPr>
            <w:r w:rsidRPr="009D4D6B">
              <w:rPr>
                <w:rFonts w:ascii="Trebuchet MS" w:hAnsi="Trebuchet MS" w:cs="Calibri"/>
                <w:color w:val="000000"/>
                <w:sz w:val="20"/>
                <w:szCs w:val="20"/>
                <w:lang w:val="en-GB"/>
              </w:rPr>
              <w:t xml:space="preserve">Decision of 23 March 2016 on Implementing rules on 1. Reclassification of TA &amp; CA; 2.Working Time; 3. </w:t>
            </w:r>
            <w:r w:rsidRPr="009D4D6B">
              <w:rPr>
                <w:rFonts w:ascii="Trebuchet MS" w:hAnsi="Trebuchet MS" w:cs="Calibri"/>
                <w:color w:val="000000"/>
                <w:sz w:val="20"/>
                <w:szCs w:val="20"/>
              </w:rPr>
              <w:t>Part-time work; 4. Telework </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05</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20 April 2016 on FCH 2 JU budget amendment n°1</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06</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20 May 2016 on Revised Financial Rules of the FCH 2 JU</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07</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June 2016 on Annual independent assessment of the level of in-kind contribution 2015</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08</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29 June 2016 on the new organisational structure of the Programme Office </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09</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June 2016 on the launch of a procurement procedure on Management of a Joint Procurement Strategy for Fuel Cell Buses</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10</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June 2016 on the election of Raphael Schoentgen as the new Chair of the GB of the FCH 2 JU and the election of Mr Robert - Jan Smits as the Vice Chair of the GB of the FCH 2 JU</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11</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30 June 2016 on Final Accounts 2015</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12</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30 June 2016 on Annual Activity Report 2015</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13</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17 August 2016 on the adoption of the FCH 2 JU Call 2016 evaluation results and list for funding (Annex 10)</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14</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29 August 2016 on the FCH 2 JU Call 2016 evaluation results and lists for funding</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15</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27 October 2016 on GB decision laying down rules on the Secondment of National Experts </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16</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28 October 2016 on In-Kind Additional Activities (IKAA) Plan 2016 </w:t>
            </w:r>
          </w:p>
        </w:tc>
      </w:tr>
      <w:tr w:rsidR="007B3AA1" w:rsidRPr="00323462" w:rsidTr="009E144F">
        <w:tc>
          <w:tcPr>
            <w:tcW w:w="1680" w:type="dxa"/>
            <w:tcBorders>
              <w:top w:val="nil"/>
              <w:left w:val="single" w:sz="4" w:space="0" w:color="auto"/>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17</w:t>
            </w:r>
          </w:p>
        </w:tc>
        <w:tc>
          <w:tcPr>
            <w:tcW w:w="1292"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tcBorders>
              <w:top w:val="nil"/>
              <w:left w:val="nil"/>
              <w:bottom w:val="single" w:sz="4" w:space="0" w:color="auto"/>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06 December 2016 on Scientific Committee member appointment </w:t>
            </w:r>
          </w:p>
        </w:tc>
      </w:tr>
      <w:tr w:rsidR="007B3AA1" w:rsidRPr="00323462" w:rsidTr="009E144F">
        <w:tc>
          <w:tcPr>
            <w:tcW w:w="1680" w:type="dxa"/>
            <w:tcBorders>
              <w:top w:val="nil"/>
              <w:left w:val="single" w:sz="4" w:space="0" w:color="auto"/>
              <w:bottom w:val="nil"/>
              <w:right w:val="single" w:sz="4" w:space="0" w:color="auto"/>
            </w:tcBorders>
            <w:shd w:val="clear" w:color="auto" w:fill="auto"/>
            <w:vAlign w:val="center"/>
          </w:tcPr>
          <w:p w:rsidR="007B3AA1" w:rsidRPr="009D4D6B" w:rsidRDefault="007B3AA1" w:rsidP="00603187">
            <w:pPr>
              <w:spacing w:before="120"/>
              <w:jc w:val="both"/>
              <w:rPr>
                <w:rFonts w:ascii="Trebuchet MS" w:eastAsia="Times New Roman" w:hAnsi="Trebuchet MS" w:cs="Calibri"/>
                <w:color w:val="000000"/>
                <w:sz w:val="20"/>
                <w:szCs w:val="20"/>
                <w:lang w:val="en-GB" w:eastAsia="en-GB"/>
              </w:rPr>
            </w:pPr>
            <w:r w:rsidRPr="009D4D6B">
              <w:rPr>
                <w:rFonts w:ascii="Trebuchet MS" w:hAnsi="Trebuchet MS" w:cs="Calibri"/>
                <w:color w:val="000000"/>
                <w:sz w:val="20"/>
                <w:szCs w:val="20"/>
                <w:lang w:val="en-GB"/>
              </w:rPr>
              <w:t>18</w:t>
            </w:r>
          </w:p>
        </w:tc>
        <w:tc>
          <w:tcPr>
            <w:tcW w:w="1292" w:type="dxa"/>
            <w:tcBorders>
              <w:top w:val="nil"/>
              <w:left w:val="nil"/>
              <w:bottom w:val="nil"/>
              <w:right w:val="single" w:sz="4" w:space="0" w:color="auto"/>
            </w:tcBorders>
            <w:shd w:val="clear" w:color="auto" w:fill="auto"/>
            <w:vAlign w:val="center"/>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tcBorders>
              <w:top w:val="nil"/>
              <w:left w:val="nil"/>
              <w:bottom w:val="nil"/>
              <w:right w:val="single" w:sz="4" w:space="0" w:color="auto"/>
            </w:tcBorders>
            <w:shd w:val="clear" w:color="auto" w:fill="auto"/>
            <w:vAlign w:val="center"/>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09 December 2016 on the election of Ruxandra Draghia-Akli as Vice Chair</w:t>
            </w:r>
          </w:p>
        </w:tc>
      </w:tr>
      <w:tr w:rsidR="007B3AA1" w:rsidRPr="00323462" w:rsidTr="009E144F">
        <w:trPr>
          <w:trHeight w:val="285"/>
        </w:trPr>
        <w:tc>
          <w:tcPr>
            <w:tcW w:w="1680"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19</w:t>
            </w:r>
          </w:p>
        </w:tc>
        <w:tc>
          <w:tcPr>
            <w:tcW w:w="1292" w:type="dxa"/>
            <w:hideMark/>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MEETING</w:t>
            </w:r>
          </w:p>
        </w:tc>
        <w:tc>
          <w:tcPr>
            <w:tcW w:w="6095"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Decision of 09 December 2016 on the appointment of Raphael Schoentgen and Ruxandra Draghia-Akli as reporting officers for the appraisal of the Executive Director</w:t>
            </w:r>
          </w:p>
        </w:tc>
      </w:tr>
      <w:tr w:rsidR="007B3AA1" w:rsidRPr="00323462" w:rsidTr="009E144F">
        <w:trPr>
          <w:trHeight w:val="338"/>
        </w:trPr>
        <w:tc>
          <w:tcPr>
            <w:tcW w:w="1680"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20</w:t>
            </w:r>
          </w:p>
        </w:tc>
        <w:tc>
          <w:tcPr>
            <w:tcW w:w="1292" w:type="dxa"/>
            <w:hideMark/>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20 December 2016 on GB decision on the Annual Work Plan and Budget for 2017 </w:t>
            </w:r>
          </w:p>
        </w:tc>
      </w:tr>
      <w:tr w:rsidR="007B3AA1" w:rsidRPr="00323462" w:rsidTr="009E144F">
        <w:trPr>
          <w:trHeight w:val="300"/>
        </w:trPr>
        <w:tc>
          <w:tcPr>
            <w:tcW w:w="1680"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21</w:t>
            </w:r>
          </w:p>
        </w:tc>
        <w:tc>
          <w:tcPr>
            <w:tcW w:w="1292" w:type="dxa"/>
            <w:hideMark/>
          </w:tcPr>
          <w:p w:rsidR="007B3AA1" w:rsidRPr="009D4D6B" w:rsidRDefault="007B3AA1" w:rsidP="00603187">
            <w:pPr>
              <w:spacing w:before="120"/>
              <w:jc w:val="center"/>
              <w:rPr>
                <w:rFonts w:ascii="Trebuchet MS" w:hAnsi="Trebuchet MS" w:cs="Calibri"/>
                <w:color w:val="000000"/>
                <w:sz w:val="20"/>
                <w:szCs w:val="20"/>
                <w:lang w:val="en-GB"/>
              </w:rPr>
            </w:pPr>
            <w:r w:rsidRPr="009D4D6B">
              <w:rPr>
                <w:rFonts w:ascii="Trebuchet MS" w:hAnsi="Trebuchet MS" w:cs="Calibri"/>
                <w:color w:val="000000"/>
                <w:sz w:val="20"/>
                <w:szCs w:val="20"/>
                <w:lang w:val="en-GB"/>
              </w:rPr>
              <w:t>WP</w:t>
            </w:r>
          </w:p>
        </w:tc>
        <w:tc>
          <w:tcPr>
            <w:tcW w:w="6095" w:type="dxa"/>
            <w:hideMark/>
          </w:tcPr>
          <w:p w:rsidR="007B3AA1" w:rsidRPr="009D4D6B" w:rsidRDefault="007B3AA1" w:rsidP="00603187">
            <w:pPr>
              <w:spacing w:before="120"/>
              <w:jc w:val="both"/>
              <w:rPr>
                <w:rFonts w:ascii="Trebuchet MS" w:hAnsi="Trebuchet MS" w:cs="Calibri"/>
                <w:color w:val="000000"/>
                <w:sz w:val="20"/>
                <w:szCs w:val="20"/>
                <w:lang w:val="en-GB"/>
              </w:rPr>
            </w:pPr>
            <w:r w:rsidRPr="009D4D6B">
              <w:rPr>
                <w:rFonts w:ascii="Trebuchet MS" w:hAnsi="Trebuchet MS" w:cs="Calibri"/>
                <w:color w:val="000000"/>
                <w:sz w:val="20"/>
                <w:szCs w:val="20"/>
                <w:lang w:val="en-GB"/>
              </w:rPr>
              <w:t xml:space="preserve">Decision of 21 December 2016 on In-kind Additional Activities (IKAA) Plan 2017 </w:t>
            </w:r>
          </w:p>
        </w:tc>
      </w:tr>
    </w:tbl>
    <w:p w:rsidR="007B3AA1" w:rsidRPr="004D7A4B" w:rsidRDefault="007B3AA1" w:rsidP="007B3AA1">
      <w:pPr>
        <w:jc w:val="center"/>
        <w:rPr>
          <w:lang w:val="en-GB"/>
        </w:rPr>
      </w:pPr>
    </w:p>
    <w:p w:rsidR="000141F8" w:rsidRPr="004D7A4B" w:rsidRDefault="000141F8" w:rsidP="007B3AA1">
      <w:pPr>
        <w:jc w:val="center"/>
        <w:rPr>
          <w:lang w:val="en-GB"/>
        </w:rPr>
      </w:pPr>
    </w:p>
    <w:p w:rsidR="007B3AA1" w:rsidRPr="00097374" w:rsidRDefault="007B3AA1" w:rsidP="007B3AA1">
      <w:pPr>
        <w:rPr>
          <w:rFonts w:ascii="Trebuchet MS" w:hAnsi="Trebuchet MS"/>
          <w:b/>
          <w:sz w:val="24"/>
          <w:szCs w:val="24"/>
          <w:lang w:val="en-GB"/>
        </w:rPr>
      </w:pPr>
      <w:r w:rsidRPr="00097374">
        <w:rPr>
          <w:rFonts w:ascii="Trebuchet MS" w:hAnsi="Trebuchet MS"/>
          <w:b/>
          <w:sz w:val="24"/>
          <w:szCs w:val="24"/>
          <w:lang w:val="en-GB"/>
        </w:rPr>
        <w:t>List of Decisions of the FCH 2 JU Governing Board for 2015</w:t>
      </w:r>
    </w:p>
    <w:p w:rsidR="007B3AA1" w:rsidRPr="00097374" w:rsidRDefault="007B3AA1" w:rsidP="007B3AA1">
      <w:pPr>
        <w:jc w:val="both"/>
        <w:rPr>
          <w:rFonts w:ascii="Trebuchet MS" w:hAnsi="Trebuchet MS"/>
          <w:sz w:val="20"/>
          <w:szCs w:val="20"/>
          <w:lang w:val="en-GB"/>
        </w:rPr>
      </w:pPr>
      <w:r w:rsidRPr="00097374">
        <w:rPr>
          <w:rFonts w:ascii="Trebuchet MS" w:hAnsi="Trebuchet MS"/>
          <w:sz w:val="20"/>
          <w:szCs w:val="20"/>
          <w:lang w:val="en-GB"/>
        </w:rPr>
        <w:t>This document lists the decisions which were taken by the Governing Board of FCH JU through 1 January to 31 December 2015. The type of decision identifies which decisions were taken at a Meeting and which decisions were taken by Written Procedure (WP).</w:t>
      </w:r>
    </w:p>
    <w:tbl>
      <w:tblPr>
        <w:tblStyle w:val="TableGrid"/>
        <w:tblW w:w="0" w:type="auto"/>
        <w:tblLook w:val="04A0" w:firstRow="1" w:lastRow="0" w:firstColumn="1" w:lastColumn="0" w:noHBand="0" w:noVBand="1"/>
      </w:tblPr>
      <w:tblGrid>
        <w:gridCol w:w="1689"/>
        <w:gridCol w:w="1248"/>
        <w:gridCol w:w="6079"/>
      </w:tblGrid>
      <w:tr w:rsidR="007B3AA1" w:rsidTr="00603187">
        <w:tc>
          <w:tcPr>
            <w:tcW w:w="1689" w:type="dxa"/>
            <w:shd w:val="clear" w:color="auto" w:fill="00B0F0"/>
          </w:tcPr>
          <w:p w:rsidR="007B3AA1" w:rsidRPr="003C5B45" w:rsidRDefault="007B3AA1" w:rsidP="00603187">
            <w:pPr>
              <w:jc w:val="both"/>
              <w:rPr>
                <w:rFonts w:ascii="Trebuchet MS" w:hAnsi="Trebuchet MS"/>
                <w:color w:val="FFFFFF" w:themeColor="background1"/>
                <w:sz w:val="28"/>
                <w:lang w:val="en-GB"/>
              </w:rPr>
            </w:pPr>
            <w:r w:rsidRPr="003C5B45">
              <w:rPr>
                <w:rFonts w:ascii="Trebuchet MS" w:hAnsi="Trebuchet MS"/>
                <w:color w:val="FFFFFF" w:themeColor="background1"/>
                <w:lang w:val="en-GB"/>
              </w:rPr>
              <w:t>Reference</w:t>
            </w:r>
          </w:p>
        </w:tc>
        <w:tc>
          <w:tcPr>
            <w:tcW w:w="1248"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Type</w:t>
            </w:r>
          </w:p>
        </w:tc>
        <w:tc>
          <w:tcPr>
            <w:tcW w:w="6079" w:type="dxa"/>
            <w:shd w:val="clear" w:color="auto" w:fill="00B0F0"/>
          </w:tcPr>
          <w:p w:rsidR="007B3AA1" w:rsidRPr="003C5B45" w:rsidRDefault="007B3AA1" w:rsidP="00603187">
            <w:pPr>
              <w:jc w:val="both"/>
              <w:rPr>
                <w:rFonts w:ascii="Trebuchet MS" w:hAnsi="Trebuchet MS"/>
                <w:color w:val="FFFFFF" w:themeColor="background1"/>
                <w:lang w:val="en-GB"/>
              </w:rPr>
            </w:pPr>
            <w:r w:rsidRPr="003C5B45">
              <w:rPr>
                <w:rFonts w:ascii="Trebuchet MS" w:hAnsi="Trebuchet MS"/>
                <w:color w:val="FFFFFF" w:themeColor="background1"/>
                <w:lang w:val="en-GB"/>
              </w:rPr>
              <w:t>Decision Title</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01</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04 February 2015 on Specific Criteria and Selection Process for the Composition of the Scientific Committee of the FCH 2 JU</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lastRenderedPageBreak/>
              <w:t>02</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11 February 2015 on FCH 2 JU Communication objectives, Roles and Responsibilities</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rPr>
              <w:t>03</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rPr>
              <w:t>WP</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20 February 2015 on Negotiation results and selection decision for concluding grant agreements</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rPr>
              <w:t>04</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public procurement for large scale demos as agreed in the AWP 2015</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05</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public procurement to contract an expert to analyse the impact of more supportive regulatory framework in transport</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06</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roll-out of HRS and FVCs for the EU roadmap shall be included in the MAWP.  The AWP 2015 should provide for EU level support in coordination of these activities in form of procurement</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07</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having the SF 2015 in Brussels, to link the SF and the programme review days and appointed Mr Frois as the coordinator of SF2015 organization committee</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08</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Decision of 03 March 2015 on setting up a Sherpa Group to elaborate a joint communication strategy</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09</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11 March 2015 for the approval of a proposal for amending the FCH JU 2015 Budget (Amendment n°1)</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10</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29 April 2015 on Annual independent assessment of the level of in-kind contribution - 2014</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11</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eastAsia="Times New Roman" w:hAnsi="Trebuchet MS" w:cstheme="minorHAnsi"/>
                <w:color w:val="222222"/>
                <w:sz w:val="20"/>
                <w:szCs w:val="20"/>
                <w:lang w:val="en-GB"/>
              </w:rPr>
            </w:pPr>
            <w:r w:rsidRPr="00097374">
              <w:rPr>
                <w:rFonts w:ascii="Trebuchet MS" w:hAnsi="Trebuchet MS" w:cstheme="minorHAnsi"/>
                <w:color w:val="222222"/>
                <w:sz w:val="20"/>
                <w:szCs w:val="20"/>
                <w:lang w:val="en-GB"/>
              </w:rPr>
              <w:t xml:space="preserve">Decision of 01 June 2015 on </w:t>
            </w:r>
            <w:r w:rsidRPr="00097374">
              <w:rPr>
                <w:rFonts w:ascii="Trebuchet MS" w:eastAsia="Times New Roman" w:hAnsi="Trebuchet MS" w:cstheme="minorHAnsi"/>
                <w:color w:val="222222"/>
                <w:sz w:val="20"/>
                <w:szCs w:val="20"/>
                <w:lang w:val="en-GB" w:eastAsia="en-GB"/>
              </w:rPr>
              <w:t>Scientific Committee members' appointment</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12</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15 June 2015 on Implementing Rules</w:t>
            </w:r>
          </w:p>
        </w:tc>
      </w:tr>
      <w:tr w:rsidR="007B3AA1" w:rsidRPr="00323462" w:rsidTr="00603187">
        <w:tc>
          <w:tcPr>
            <w:tcW w:w="1689" w:type="dxa"/>
          </w:tcPr>
          <w:p w:rsidR="007B3AA1" w:rsidRPr="00097374" w:rsidRDefault="007B3AA1" w:rsidP="00603187">
            <w:pPr>
              <w:spacing w:before="120"/>
              <w:jc w:val="both"/>
              <w:rPr>
                <w:rFonts w:ascii="Trebuchet MS" w:hAnsi="Trebuchet MS" w:cstheme="minorHAnsi"/>
                <w:sz w:val="20"/>
                <w:szCs w:val="20"/>
                <w:lang w:val="en-GB"/>
              </w:rPr>
            </w:pPr>
            <w:r w:rsidRPr="00097374">
              <w:rPr>
                <w:rFonts w:ascii="Trebuchet MS" w:hAnsi="Trebuchet MS" w:cstheme="minorHAnsi"/>
                <w:sz w:val="20"/>
                <w:szCs w:val="20"/>
                <w:lang w:val="en-GB"/>
              </w:rPr>
              <w:t>13</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17 June 2015 on Annual Activity Report 2014</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14</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29 June 2015 on the FCH 2 JU Final Accounts for the Financial Year 2014</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15</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30 June 2015 on implementing the procurement ‘Management of the Joint Procurement Strategy for Fuel Cell Buses’</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16</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 xml:space="preserve">MEETING </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30 June 2015 to externalize the elaboration of the FCH 2 JU customers’ satisfaction survey</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17</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30 June 2015 on the recommendation to use the Technology and Innovation Monitoring (TIM) system, developed by CERN and the Joint Research Centre, to monitor FCH activities</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18</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06 August 2015 on Delegating powers to conclude contracts of employment to the Executive Director</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19</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 xml:space="preserve">MEETING </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18 November 2015 of all lists of actions presented in the call for proposals H2020-JTI-FCH-2015</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lang w:val="en-GB"/>
              </w:rPr>
            </w:pPr>
            <w:r w:rsidRPr="00097374">
              <w:rPr>
                <w:rFonts w:ascii="Trebuchet MS" w:hAnsi="Trebuchet MS" w:cstheme="minorHAnsi"/>
                <w:sz w:val="20"/>
                <w:szCs w:val="20"/>
                <w:lang w:val="en-GB"/>
              </w:rPr>
              <w:t>20</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MEETING</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18 November 2015 on the appointment of Philippe Vansson as acting Executive Director of FCH 2 JU as of 01 January 2016</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21</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eastAsia="Times New Roman" w:hAnsi="Trebuchet MS" w:cstheme="minorHAnsi"/>
                <w:color w:val="222222"/>
                <w:sz w:val="20"/>
                <w:szCs w:val="20"/>
                <w:lang w:val="en-GB"/>
              </w:rPr>
            </w:pPr>
            <w:r w:rsidRPr="00097374">
              <w:rPr>
                <w:rFonts w:ascii="Trebuchet MS" w:hAnsi="Trebuchet MS" w:cstheme="minorHAnsi"/>
                <w:color w:val="222222"/>
                <w:sz w:val="20"/>
                <w:szCs w:val="20"/>
                <w:lang w:val="en-GB"/>
              </w:rPr>
              <w:t xml:space="preserve">Decision of 02 December 2015 </w:t>
            </w:r>
            <w:r w:rsidRPr="00097374">
              <w:rPr>
                <w:rFonts w:ascii="Trebuchet MS" w:eastAsia="Times New Roman" w:hAnsi="Trebuchet MS" w:cstheme="minorHAnsi"/>
                <w:color w:val="222222"/>
                <w:sz w:val="20"/>
                <w:szCs w:val="20"/>
                <w:lang w:val="en-GB" w:eastAsia="en-GB"/>
              </w:rPr>
              <w:t>Unpaid leave rules for temporary and contract staff</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22</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14 December 2015 on Communication Strategy</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23</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21 December 2015 on AWP 2016</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t>24</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22 December 2015 on Rules on conflict of interest</w:t>
            </w:r>
          </w:p>
        </w:tc>
      </w:tr>
      <w:tr w:rsidR="007B3AA1" w:rsidRPr="00323462" w:rsidTr="00603187">
        <w:tc>
          <w:tcPr>
            <w:tcW w:w="1689" w:type="dxa"/>
          </w:tcPr>
          <w:p w:rsidR="007B3AA1" w:rsidRPr="00097374" w:rsidRDefault="007B3AA1" w:rsidP="00603187">
            <w:pPr>
              <w:spacing w:before="120"/>
              <w:jc w:val="both"/>
              <w:rPr>
                <w:rFonts w:ascii="Trebuchet MS" w:hAnsi="Trebuchet MS" w:cstheme="minorHAnsi"/>
                <w:sz w:val="20"/>
                <w:szCs w:val="20"/>
                <w:lang w:val="en-GB"/>
              </w:rPr>
            </w:pPr>
            <w:r w:rsidRPr="00097374">
              <w:rPr>
                <w:rFonts w:ascii="Trebuchet MS" w:hAnsi="Trebuchet MS" w:cstheme="minorHAnsi"/>
                <w:sz w:val="20"/>
                <w:szCs w:val="20"/>
                <w:lang w:val="en-GB"/>
              </w:rPr>
              <w:t>25</w:t>
            </w:r>
          </w:p>
        </w:tc>
        <w:tc>
          <w:tcPr>
            <w:tcW w:w="1248" w:type="dxa"/>
          </w:tcPr>
          <w:p w:rsidR="007B3AA1" w:rsidRPr="00097374" w:rsidRDefault="007B3AA1" w:rsidP="00603187">
            <w:pPr>
              <w:spacing w:before="120"/>
              <w:jc w:val="center"/>
              <w:rPr>
                <w:rFonts w:ascii="Trebuchet MS" w:hAnsi="Trebuchet MS" w:cstheme="minorHAnsi"/>
                <w:sz w:val="20"/>
                <w:szCs w:val="20"/>
                <w:lang w:val="en-GB"/>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23 December 2015 on Additional Activities Plan 2014-2015 by Industry (NEW-IG) and Research (N.ERGHY)</w:t>
            </w:r>
          </w:p>
        </w:tc>
      </w:tr>
      <w:tr w:rsidR="007B3AA1" w:rsidRPr="00323462" w:rsidTr="00603187">
        <w:tc>
          <w:tcPr>
            <w:tcW w:w="1689" w:type="dxa"/>
          </w:tcPr>
          <w:p w:rsidR="007B3AA1" w:rsidRPr="00097374" w:rsidRDefault="007B3AA1" w:rsidP="00603187">
            <w:pPr>
              <w:spacing w:before="120"/>
              <w:rPr>
                <w:rFonts w:ascii="Trebuchet MS" w:hAnsi="Trebuchet MS" w:cstheme="minorHAnsi"/>
                <w:sz w:val="20"/>
                <w:szCs w:val="20"/>
              </w:rPr>
            </w:pPr>
            <w:r w:rsidRPr="00097374">
              <w:rPr>
                <w:rFonts w:ascii="Trebuchet MS" w:hAnsi="Trebuchet MS" w:cstheme="minorHAnsi"/>
                <w:sz w:val="20"/>
                <w:szCs w:val="20"/>
                <w:lang w:val="en-GB"/>
              </w:rPr>
              <w:lastRenderedPageBreak/>
              <w:t>26</w:t>
            </w:r>
          </w:p>
        </w:tc>
        <w:tc>
          <w:tcPr>
            <w:tcW w:w="1248" w:type="dxa"/>
          </w:tcPr>
          <w:p w:rsidR="007B3AA1" w:rsidRPr="00097374" w:rsidRDefault="007B3AA1" w:rsidP="00603187">
            <w:pPr>
              <w:spacing w:before="120"/>
              <w:jc w:val="center"/>
              <w:rPr>
                <w:rFonts w:ascii="Trebuchet MS" w:hAnsi="Trebuchet MS" w:cstheme="minorHAnsi"/>
                <w:sz w:val="20"/>
                <w:szCs w:val="20"/>
              </w:rPr>
            </w:pPr>
            <w:r w:rsidRPr="00097374">
              <w:rPr>
                <w:rFonts w:ascii="Trebuchet MS" w:hAnsi="Trebuchet MS" w:cstheme="minorHAnsi"/>
                <w:sz w:val="20"/>
                <w:szCs w:val="20"/>
                <w:lang w:val="en-GB"/>
              </w:rPr>
              <w:t>WP</w:t>
            </w:r>
          </w:p>
        </w:tc>
        <w:tc>
          <w:tcPr>
            <w:tcW w:w="6079" w:type="dxa"/>
          </w:tcPr>
          <w:p w:rsidR="007B3AA1" w:rsidRPr="00097374" w:rsidRDefault="007B3AA1" w:rsidP="00603187">
            <w:pPr>
              <w:shd w:val="clear" w:color="auto" w:fill="FFFFFF"/>
              <w:spacing w:before="120"/>
              <w:ind w:left="39"/>
              <w:jc w:val="both"/>
              <w:textAlignment w:val="baseline"/>
              <w:rPr>
                <w:rFonts w:ascii="Trebuchet MS" w:hAnsi="Trebuchet MS" w:cstheme="minorHAnsi"/>
                <w:color w:val="222222"/>
                <w:sz w:val="20"/>
                <w:szCs w:val="20"/>
                <w:lang w:val="en-GB"/>
              </w:rPr>
            </w:pPr>
            <w:r w:rsidRPr="00097374">
              <w:rPr>
                <w:rFonts w:ascii="Trebuchet MS" w:hAnsi="Trebuchet MS" w:cstheme="minorHAnsi"/>
                <w:color w:val="222222"/>
                <w:sz w:val="20"/>
                <w:szCs w:val="20"/>
                <w:lang w:val="en-GB"/>
              </w:rPr>
              <w:t>Decision of 23 December 2015 on the FCH 2 JU - JRC Framework Contract</w:t>
            </w:r>
          </w:p>
        </w:tc>
      </w:tr>
    </w:tbl>
    <w:p w:rsidR="009D4D6B" w:rsidRDefault="009D4D6B">
      <w:pPr>
        <w:rPr>
          <w:rFonts w:ascii="Trebuchet MS" w:hAnsi="Trebuchet MS"/>
          <w:sz w:val="28"/>
          <w:lang w:val="en-GB"/>
        </w:rPr>
      </w:pPr>
    </w:p>
    <w:p w:rsidR="007B3AA1" w:rsidRPr="004D7A4B" w:rsidRDefault="007B3AA1" w:rsidP="007B3AA1">
      <w:pPr>
        <w:jc w:val="center"/>
        <w:rPr>
          <w:sz w:val="24"/>
          <w:szCs w:val="24"/>
          <w:lang w:val="en-GB"/>
        </w:rPr>
      </w:pPr>
    </w:p>
    <w:p w:rsidR="000141F8" w:rsidRDefault="000141F8" w:rsidP="007B3AA1">
      <w:pPr>
        <w:rPr>
          <w:rFonts w:ascii="Trebuchet MS" w:hAnsi="Trebuchet MS"/>
          <w:b/>
          <w:sz w:val="24"/>
          <w:szCs w:val="24"/>
          <w:lang w:val="en-GB"/>
        </w:rPr>
      </w:pPr>
    </w:p>
    <w:p w:rsidR="000141F8" w:rsidRDefault="000141F8" w:rsidP="007B3AA1">
      <w:pPr>
        <w:rPr>
          <w:rFonts w:ascii="Trebuchet MS" w:hAnsi="Trebuchet MS"/>
          <w:b/>
          <w:sz w:val="24"/>
          <w:szCs w:val="24"/>
          <w:lang w:val="en-GB"/>
        </w:rPr>
      </w:pPr>
    </w:p>
    <w:p w:rsidR="007B3AA1" w:rsidRPr="00097374" w:rsidRDefault="007B3AA1" w:rsidP="007B3AA1">
      <w:pPr>
        <w:rPr>
          <w:rFonts w:ascii="Trebuchet MS" w:hAnsi="Trebuchet MS"/>
          <w:b/>
          <w:sz w:val="24"/>
          <w:szCs w:val="24"/>
          <w:lang w:val="en-GB"/>
        </w:rPr>
      </w:pPr>
      <w:r w:rsidRPr="00097374">
        <w:rPr>
          <w:rFonts w:ascii="Trebuchet MS" w:hAnsi="Trebuchet MS"/>
          <w:b/>
          <w:sz w:val="24"/>
          <w:szCs w:val="24"/>
          <w:lang w:val="en-GB"/>
        </w:rPr>
        <w:t>List of Decisions of the FCH 2 JU Governing Board for 2014</w:t>
      </w:r>
    </w:p>
    <w:p w:rsidR="007B3AA1" w:rsidRPr="00097374" w:rsidRDefault="007B3AA1" w:rsidP="007B3AA1">
      <w:pPr>
        <w:jc w:val="both"/>
        <w:rPr>
          <w:rFonts w:ascii="Trebuchet MS" w:hAnsi="Trebuchet MS"/>
          <w:sz w:val="20"/>
          <w:szCs w:val="20"/>
          <w:lang w:val="en-GB"/>
        </w:rPr>
      </w:pPr>
      <w:r w:rsidRPr="00097374">
        <w:rPr>
          <w:rFonts w:ascii="Trebuchet MS" w:hAnsi="Trebuchet MS"/>
          <w:sz w:val="20"/>
          <w:szCs w:val="20"/>
          <w:lang w:val="en-GB"/>
        </w:rPr>
        <w:t>This document lists the decisions which were taken by the Governing Board of FCH JU through 1 January to 31 December 2014. The type of decision identifies which decisions were taken at a Meeting and which decisions were taken by Written Procedure (WP).</w:t>
      </w:r>
    </w:p>
    <w:tbl>
      <w:tblPr>
        <w:tblStyle w:val="TableGrid"/>
        <w:tblW w:w="9351" w:type="dxa"/>
        <w:tblLook w:val="04A0" w:firstRow="1" w:lastRow="0" w:firstColumn="1" w:lastColumn="0" w:noHBand="0" w:noVBand="1"/>
      </w:tblPr>
      <w:tblGrid>
        <w:gridCol w:w="1661"/>
        <w:gridCol w:w="1007"/>
        <w:gridCol w:w="6683"/>
      </w:tblGrid>
      <w:tr w:rsidR="007B3AA1" w:rsidRPr="009E144F" w:rsidTr="009E144F">
        <w:tc>
          <w:tcPr>
            <w:tcW w:w="1661" w:type="dxa"/>
            <w:shd w:val="clear" w:color="auto" w:fill="00B0F0"/>
            <w:vAlign w:val="center"/>
          </w:tcPr>
          <w:p w:rsidR="007B3AA1" w:rsidRPr="009E144F" w:rsidRDefault="009E144F" w:rsidP="00603187">
            <w:pPr>
              <w:jc w:val="both"/>
              <w:rPr>
                <w:rFonts w:ascii="Trebuchet MS" w:hAnsi="Trebuchet MS" w:cs="Calibri"/>
                <w:color w:val="FFFFFF"/>
                <w:lang w:val="en-GB"/>
              </w:rPr>
            </w:pPr>
            <w:r>
              <w:rPr>
                <w:rFonts w:ascii="Trebuchet MS" w:hAnsi="Trebuchet MS" w:cs="Calibri"/>
                <w:color w:val="FFFFFF"/>
                <w:lang w:val="en-GB"/>
              </w:rPr>
              <w:t>Sequential n°.</w:t>
            </w:r>
          </w:p>
        </w:tc>
        <w:tc>
          <w:tcPr>
            <w:tcW w:w="1007" w:type="dxa"/>
            <w:shd w:val="clear" w:color="auto" w:fill="00B0F0"/>
            <w:vAlign w:val="center"/>
          </w:tcPr>
          <w:p w:rsidR="007B3AA1" w:rsidRPr="009E144F" w:rsidRDefault="007B3AA1" w:rsidP="00603187">
            <w:pPr>
              <w:jc w:val="both"/>
              <w:rPr>
                <w:rFonts w:ascii="Trebuchet MS" w:hAnsi="Trebuchet MS" w:cs="Calibri"/>
                <w:color w:val="FFFFFF"/>
                <w:lang w:val="en-GB"/>
              </w:rPr>
            </w:pPr>
            <w:r w:rsidRPr="009E144F">
              <w:rPr>
                <w:rFonts w:ascii="Trebuchet MS" w:hAnsi="Trebuchet MS" w:cs="Calibri"/>
                <w:color w:val="FFFFFF"/>
                <w:lang w:val="en-GB"/>
              </w:rPr>
              <w:t>Type</w:t>
            </w:r>
          </w:p>
        </w:tc>
        <w:tc>
          <w:tcPr>
            <w:tcW w:w="6683" w:type="dxa"/>
            <w:shd w:val="clear" w:color="auto" w:fill="00B0F0"/>
            <w:vAlign w:val="center"/>
          </w:tcPr>
          <w:p w:rsidR="007B3AA1" w:rsidRPr="009E144F" w:rsidRDefault="007B3AA1" w:rsidP="00603187">
            <w:pPr>
              <w:jc w:val="both"/>
              <w:rPr>
                <w:rFonts w:ascii="Trebuchet MS" w:hAnsi="Trebuchet MS" w:cs="Calibri"/>
                <w:color w:val="FFFFFF"/>
                <w:lang w:val="en-GB"/>
              </w:rPr>
            </w:pPr>
            <w:r w:rsidRPr="009E144F">
              <w:rPr>
                <w:rFonts w:ascii="Trebuchet MS" w:hAnsi="Trebuchet MS" w:cs="Calibri"/>
                <w:color w:val="FFFFFF"/>
                <w:lang w:val="en-GB"/>
              </w:rPr>
              <w:t>Decision Title</w:t>
            </w:r>
          </w:p>
        </w:tc>
      </w:tr>
      <w:tr w:rsidR="007B3AA1" w:rsidRPr="00323462" w:rsidTr="009E144F">
        <w:tc>
          <w:tcPr>
            <w:tcW w:w="1661" w:type="dxa"/>
            <w:vAlign w:val="center"/>
          </w:tcPr>
          <w:p w:rsidR="007B3AA1" w:rsidRPr="009E144F" w:rsidRDefault="007B3AA1" w:rsidP="00603187">
            <w:pPr>
              <w:spacing w:before="120"/>
              <w:jc w:val="both"/>
              <w:rPr>
                <w:rFonts w:ascii="Trebuchet MS" w:hAnsi="Trebuchet MS" w:cstheme="minorHAnsi"/>
                <w:color w:val="000000"/>
                <w:sz w:val="20"/>
                <w:szCs w:val="20"/>
                <w:lang w:val="en-GB"/>
              </w:rPr>
            </w:pPr>
            <w:r w:rsidRPr="009E144F">
              <w:rPr>
                <w:rFonts w:ascii="Trebuchet MS" w:hAnsi="Trebuchet MS" w:cstheme="minorHAnsi"/>
                <w:color w:val="000000"/>
                <w:sz w:val="20"/>
                <w:szCs w:val="20"/>
                <w:lang w:val="en-GB"/>
              </w:rPr>
              <w:t>01</w:t>
            </w:r>
          </w:p>
        </w:tc>
        <w:tc>
          <w:tcPr>
            <w:tcW w:w="1007" w:type="dxa"/>
            <w:vAlign w:val="center"/>
          </w:tcPr>
          <w:p w:rsidR="007B3AA1" w:rsidRPr="009E144F" w:rsidRDefault="007B3AA1" w:rsidP="00603187">
            <w:pPr>
              <w:spacing w:before="120"/>
              <w:jc w:val="center"/>
              <w:rPr>
                <w:rFonts w:ascii="Trebuchet MS" w:hAnsi="Trebuchet MS" w:cstheme="minorHAnsi"/>
                <w:color w:val="000000"/>
                <w:sz w:val="20"/>
                <w:szCs w:val="20"/>
                <w:lang w:val="en-GB"/>
              </w:rPr>
            </w:pPr>
            <w:r w:rsidRPr="009E144F">
              <w:rPr>
                <w:rFonts w:ascii="Trebuchet MS" w:hAnsi="Trebuchet MS" w:cstheme="minorHAnsi"/>
                <w:color w:val="000000"/>
                <w:sz w:val="20"/>
                <w:szCs w:val="20"/>
                <w:lang w:val="en-GB"/>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24 February 2014 on the 1</w:t>
            </w:r>
            <w:r w:rsidRPr="00097374">
              <w:rPr>
                <w:rFonts w:ascii="Trebuchet MS" w:hAnsi="Trebuchet MS" w:cstheme="minorHAnsi"/>
                <w:color w:val="000000"/>
                <w:sz w:val="20"/>
                <w:szCs w:val="20"/>
                <w:vertAlign w:val="superscript"/>
                <w:lang w:val="en-GB"/>
              </w:rPr>
              <w:t>st</w:t>
            </w:r>
            <w:r w:rsidRPr="00097374">
              <w:rPr>
                <w:rFonts w:ascii="Trebuchet MS" w:hAnsi="Trebuchet MS" w:cstheme="minorHAnsi"/>
                <w:color w:val="000000"/>
                <w:sz w:val="20"/>
                <w:szCs w:val="20"/>
                <w:lang w:val="en-GB"/>
              </w:rPr>
              <w:t xml:space="preserve"> batch of projects from FCH JU call for proposals 2013</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21 March 2014 on the 2</w:t>
            </w:r>
            <w:r w:rsidRPr="00097374">
              <w:rPr>
                <w:rFonts w:ascii="Trebuchet MS" w:hAnsi="Trebuchet MS" w:cstheme="minorHAnsi"/>
                <w:color w:val="000000"/>
                <w:sz w:val="20"/>
                <w:szCs w:val="20"/>
                <w:vertAlign w:val="superscript"/>
                <w:lang w:val="en-GB"/>
              </w:rPr>
              <w:t>nd</w:t>
            </w:r>
            <w:r w:rsidRPr="00097374">
              <w:rPr>
                <w:rFonts w:ascii="Trebuchet MS" w:hAnsi="Trebuchet MS" w:cstheme="minorHAnsi"/>
                <w:color w:val="000000"/>
                <w:sz w:val="20"/>
                <w:szCs w:val="20"/>
                <w:lang w:val="en-GB"/>
              </w:rPr>
              <w:t xml:space="preserve"> batch of projects from FCH JU call for proposals 2013</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 xml:space="preserve">Decision of 28 March 2014 on the Provisional Annual Accounts for the year 2013 </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10 April 2014 on the proposal for amending the FCH JU 2014 Budget (Amendment n°1)</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14 April 2014 on the Implementing Rules</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24 April 2014 on the Study on a Techno-economic assessment of the role of Hydrogen in Energy storage</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07</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25 April 2014 on the 3</w:t>
            </w:r>
            <w:r w:rsidRPr="00097374">
              <w:rPr>
                <w:rFonts w:ascii="Trebuchet MS" w:hAnsi="Trebuchet MS" w:cstheme="minorHAnsi"/>
                <w:color w:val="000000"/>
                <w:sz w:val="20"/>
                <w:szCs w:val="20"/>
                <w:vertAlign w:val="superscript"/>
                <w:lang w:val="en-GB"/>
              </w:rPr>
              <w:t>rd</w:t>
            </w:r>
            <w:r w:rsidRPr="00097374">
              <w:rPr>
                <w:rFonts w:ascii="Trebuchet MS" w:hAnsi="Trebuchet MS" w:cstheme="minorHAnsi"/>
                <w:color w:val="000000"/>
                <w:sz w:val="20"/>
                <w:szCs w:val="20"/>
                <w:lang w:val="en-GB"/>
              </w:rPr>
              <w:t xml:space="preserve"> batch of projects from FCH JU call for proposals 2013</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08</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07 May 2014 on the Study on Fuel Cell bus commercialisation strategy</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09</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12 June 2014 on the Annual Activity Report 2013</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10</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Final Accounts 2013</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11</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Governing Board Rules of Procedure</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appointment of Pierre-Etienne Franc as Chair and Rudolf Strohmeier as Vice-Chair of the GB of FCH 2 JU</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Multi Annual Work Plan of the FCH 2 JU</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Annual Work Plan 2014 of the FCH 2 JU</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FCH 2 JU Budget and Establishment Plan 2014</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Rules for submission, evaluation and selection of proposals (‘Vademecum’)</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17</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delegation of powers of Appointing Authority to the Executive Director of the FCH 2 JU</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18</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FCH 2 JU Financial Rules</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19</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appointment of the EC Accounting Officer as Accounting Officer of the FCH 2 JU</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20</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HR and organization chart under Horizon 2020</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21</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Multi-Annual Staff Policy Plan (MSPP)</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lastRenderedPageBreak/>
              <w:t>22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Rules on the use of trainees</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2013 In-Kind assessment</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the use of projects ‘eligible costs’ according to H2020 rules as the basis for calculating IKOP</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30 June 2014 on maintaining the mandate of current members of the Scientific Committee until year-end</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setting up a dedicated working group to jointly elaborate a communication plan</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27</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setting up a dedicated working group to jointly tackle the pending issues related to the elaboration of the Additional Activities Plan</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28</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outsourcing the elaboration of a FCH sectorial vision</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29</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22 September 2014 on the new FCH 2 JU visual identity and logo</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30</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29 September 2014 on the 4</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31</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11 November 2014 on the presentation on the FCH 2 JU budget</w:t>
            </w:r>
          </w:p>
        </w:tc>
      </w:tr>
      <w:tr w:rsidR="007B3AA1" w:rsidRPr="00323462" w:rsidTr="009E144F">
        <w:tc>
          <w:tcPr>
            <w:tcW w:w="1661" w:type="dxa"/>
            <w:vAlign w:val="center"/>
          </w:tcPr>
          <w:p w:rsidR="007B3AA1" w:rsidRPr="00097374" w:rsidRDefault="007B3AA1" w:rsidP="00603187">
            <w:pPr>
              <w:spacing w:before="120"/>
              <w:rPr>
                <w:rFonts w:ascii="Trebuchet MS" w:hAnsi="Trebuchet MS" w:cstheme="minorHAnsi"/>
                <w:color w:val="000000"/>
                <w:sz w:val="20"/>
                <w:szCs w:val="20"/>
              </w:rPr>
            </w:pPr>
            <w:r w:rsidRPr="00097374">
              <w:rPr>
                <w:rFonts w:ascii="Trebuchet MS" w:hAnsi="Trebuchet MS" w:cstheme="minorHAnsi"/>
                <w:color w:val="000000"/>
                <w:sz w:val="20"/>
                <w:szCs w:val="20"/>
              </w:rPr>
              <w:t>32</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MEETING</w:t>
            </w:r>
          </w:p>
        </w:tc>
        <w:tc>
          <w:tcPr>
            <w:tcW w:w="6683" w:type="dxa"/>
            <w:vAlign w:val="center"/>
          </w:tcPr>
          <w:p w:rsidR="007B3AA1" w:rsidRPr="00097374" w:rsidRDefault="007B3AA1" w:rsidP="00603187">
            <w:pPr>
              <w:spacing w:before="120"/>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11 November 2014 on the Action Plan for the 2</w:t>
            </w:r>
            <w:r w:rsidRPr="00097374">
              <w:rPr>
                <w:rFonts w:ascii="Trebuchet MS" w:hAnsi="Trebuchet MS" w:cstheme="minorHAnsi"/>
                <w:color w:val="000000"/>
                <w:sz w:val="20"/>
                <w:szCs w:val="20"/>
                <w:vertAlign w:val="superscript"/>
                <w:lang w:val="en-GB"/>
              </w:rPr>
              <w:t>nd</w:t>
            </w:r>
            <w:r w:rsidRPr="00097374">
              <w:rPr>
                <w:rFonts w:ascii="Trebuchet MS" w:hAnsi="Trebuchet MS" w:cstheme="minorHAnsi"/>
                <w:color w:val="000000"/>
                <w:sz w:val="20"/>
                <w:szCs w:val="20"/>
                <w:lang w:val="en-GB"/>
              </w:rPr>
              <w:t xml:space="preserve"> Interim Evaluation of the FCH JU</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33</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13 November 2014 on the 5</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34</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21 November 2014 on the 6</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35</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of 21 November 2014 on the 7</w:t>
            </w:r>
            <w:r w:rsidRPr="00097374">
              <w:rPr>
                <w:rFonts w:ascii="Trebuchet MS" w:hAnsi="Trebuchet MS" w:cstheme="minorHAnsi"/>
                <w:color w:val="000000"/>
                <w:sz w:val="20"/>
                <w:szCs w:val="20"/>
                <w:vertAlign w:val="superscript"/>
                <w:lang w:val="en-GB"/>
              </w:rPr>
              <w:t>th</w:t>
            </w:r>
            <w:r w:rsidRPr="00097374">
              <w:rPr>
                <w:rFonts w:ascii="Trebuchet MS" w:hAnsi="Trebuchet MS" w:cstheme="minorHAnsi"/>
                <w:color w:val="000000"/>
                <w:sz w:val="20"/>
                <w:szCs w:val="20"/>
                <w:lang w:val="en-GB"/>
              </w:rPr>
              <w:t xml:space="preserve"> batch of projects from FCH JU call for proposals 2013</w:t>
            </w:r>
          </w:p>
        </w:tc>
      </w:tr>
      <w:tr w:rsidR="007B3AA1" w:rsidRPr="00323462" w:rsidTr="009E144F">
        <w:tc>
          <w:tcPr>
            <w:tcW w:w="1661" w:type="dxa"/>
            <w:vAlign w:val="center"/>
          </w:tcPr>
          <w:p w:rsidR="007B3AA1" w:rsidRPr="00097374" w:rsidRDefault="007B3AA1" w:rsidP="00603187">
            <w:pPr>
              <w:spacing w:before="120"/>
              <w:jc w:val="both"/>
              <w:rPr>
                <w:rFonts w:ascii="Trebuchet MS" w:hAnsi="Trebuchet MS" w:cstheme="minorHAnsi"/>
                <w:color w:val="000000"/>
                <w:sz w:val="20"/>
                <w:szCs w:val="20"/>
              </w:rPr>
            </w:pPr>
            <w:r w:rsidRPr="00097374">
              <w:rPr>
                <w:rFonts w:ascii="Trebuchet MS" w:hAnsi="Trebuchet MS" w:cstheme="minorHAnsi"/>
                <w:color w:val="000000"/>
                <w:sz w:val="20"/>
                <w:szCs w:val="20"/>
              </w:rPr>
              <w:t>36</w:t>
            </w:r>
          </w:p>
        </w:tc>
        <w:tc>
          <w:tcPr>
            <w:tcW w:w="1007" w:type="dxa"/>
            <w:vAlign w:val="center"/>
          </w:tcPr>
          <w:p w:rsidR="007B3AA1" w:rsidRPr="00097374" w:rsidRDefault="007B3AA1" w:rsidP="00603187">
            <w:pPr>
              <w:spacing w:before="120"/>
              <w:jc w:val="center"/>
              <w:rPr>
                <w:rFonts w:ascii="Trebuchet MS" w:hAnsi="Trebuchet MS" w:cstheme="minorHAnsi"/>
                <w:color w:val="000000"/>
                <w:sz w:val="20"/>
                <w:szCs w:val="20"/>
              </w:rPr>
            </w:pPr>
            <w:r w:rsidRPr="00097374">
              <w:rPr>
                <w:rFonts w:ascii="Trebuchet MS" w:hAnsi="Trebuchet MS" w:cstheme="minorHAnsi"/>
                <w:color w:val="000000"/>
                <w:sz w:val="20"/>
                <w:szCs w:val="20"/>
              </w:rPr>
              <w:t>WP</w:t>
            </w:r>
          </w:p>
        </w:tc>
        <w:tc>
          <w:tcPr>
            <w:tcW w:w="6683" w:type="dxa"/>
            <w:vAlign w:val="center"/>
          </w:tcPr>
          <w:p w:rsidR="007B3AA1" w:rsidRPr="00097374" w:rsidRDefault="007B3AA1" w:rsidP="00603187">
            <w:pPr>
              <w:spacing w:before="120"/>
              <w:jc w:val="both"/>
              <w:rPr>
                <w:rFonts w:ascii="Trebuchet MS" w:hAnsi="Trebuchet MS" w:cstheme="minorHAnsi"/>
                <w:color w:val="000000"/>
                <w:sz w:val="20"/>
                <w:szCs w:val="20"/>
                <w:lang w:val="en-GB"/>
              </w:rPr>
            </w:pPr>
            <w:r w:rsidRPr="00097374">
              <w:rPr>
                <w:rFonts w:ascii="Trebuchet MS" w:hAnsi="Trebuchet MS" w:cstheme="minorHAnsi"/>
                <w:color w:val="000000"/>
                <w:sz w:val="20"/>
                <w:szCs w:val="20"/>
                <w:lang w:val="en-GB"/>
              </w:rPr>
              <w:t>Decision on 17 December 2014 on the FCH 2 JU Annual Work Plan (AWP) 2015 and FCH 2 JU Budget &amp; Establishment Plan 2015</w:t>
            </w:r>
          </w:p>
        </w:tc>
      </w:tr>
    </w:tbl>
    <w:p w:rsidR="0014335E" w:rsidRPr="00FF48AD" w:rsidRDefault="0014335E">
      <w:pPr>
        <w:rPr>
          <w:lang w:val="en-GB"/>
        </w:rPr>
      </w:pPr>
    </w:p>
    <w:sectPr w:rsidR="0014335E" w:rsidRPr="00FF48AD" w:rsidSect="00694F0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B9" w:rsidRDefault="00A108B9" w:rsidP="00C87F03">
      <w:pPr>
        <w:spacing w:after="0" w:line="240" w:lineRule="auto"/>
      </w:pPr>
      <w:r>
        <w:separator/>
      </w:r>
    </w:p>
  </w:endnote>
  <w:endnote w:type="continuationSeparator" w:id="0">
    <w:p w:rsidR="00A108B9" w:rsidRDefault="00A108B9" w:rsidP="00C8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B9" w:rsidRDefault="00A108B9" w:rsidP="00C87F03">
      <w:pPr>
        <w:spacing w:after="0" w:line="240" w:lineRule="auto"/>
      </w:pPr>
      <w:r>
        <w:separator/>
      </w:r>
    </w:p>
  </w:footnote>
  <w:footnote w:type="continuationSeparator" w:id="0">
    <w:p w:rsidR="00A108B9" w:rsidRDefault="00A108B9" w:rsidP="00C87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AD"/>
    <w:rsid w:val="0000591A"/>
    <w:rsid w:val="000141F8"/>
    <w:rsid w:val="00097374"/>
    <w:rsid w:val="000A03FD"/>
    <w:rsid w:val="00104A0E"/>
    <w:rsid w:val="0014335E"/>
    <w:rsid w:val="00323462"/>
    <w:rsid w:val="003F7F4E"/>
    <w:rsid w:val="00413679"/>
    <w:rsid w:val="0042140A"/>
    <w:rsid w:val="004D7A4B"/>
    <w:rsid w:val="00592DD7"/>
    <w:rsid w:val="005B6184"/>
    <w:rsid w:val="00603187"/>
    <w:rsid w:val="00694F09"/>
    <w:rsid w:val="007418FF"/>
    <w:rsid w:val="007B3AA1"/>
    <w:rsid w:val="00896398"/>
    <w:rsid w:val="00957018"/>
    <w:rsid w:val="009C019D"/>
    <w:rsid w:val="009D4D6B"/>
    <w:rsid w:val="009E144F"/>
    <w:rsid w:val="00A108B9"/>
    <w:rsid w:val="00AA1A3B"/>
    <w:rsid w:val="00B54FE9"/>
    <w:rsid w:val="00B62061"/>
    <w:rsid w:val="00C87F03"/>
    <w:rsid w:val="00D26ECA"/>
    <w:rsid w:val="00D7714B"/>
    <w:rsid w:val="00E676F7"/>
    <w:rsid w:val="00FF4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5576A"/>
  <w15:chartTrackingRefBased/>
  <w15:docId w15:val="{9FD62BB3-2792-4798-A893-57C2EA87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AD"/>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F03"/>
    <w:rPr>
      <w:lang w:val="fr-BE"/>
    </w:rPr>
  </w:style>
  <w:style w:type="paragraph" w:styleId="Footer">
    <w:name w:val="footer"/>
    <w:basedOn w:val="Normal"/>
    <w:link w:val="FooterChar"/>
    <w:uiPriority w:val="99"/>
    <w:unhideWhenUsed/>
    <w:rsid w:val="00C87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F03"/>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13EA9-DE63-4F27-B79C-3E0C3E0C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BERTUOLA Margherita ( FCH )</dc:creator>
  <cp:keywords/>
  <dc:description/>
  <cp:lastModifiedBy>BERTUOLA Margherita ( FCH )</cp:lastModifiedBy>
  <cp:revision>15</cp:revision>
  <dcterms:created xsi:type="dcterms:W3CDTF">2019-06-11T09:17:00Z</dcterms:created>
  <dcterms:modified xsi:type="dcterms:W3CDTF">2019-07-02T13:11:00Z</dcterms:modified>
</cp:coreProperties>
</file>